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7342848E" w14:textId="77777777">
        <w:tc>
          <w:tcPr>
            <w:tcW w:w="9212" w:type="dxa"/>
          </w:tcPr>
          <w:p w14:paraId="3856C14D" w14:textId="77777777" w:rsidR="008E6675" w:rsidRPr="00AF3111" w:rsidRDefault="008E6675" w:rsidP="002005A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 xml:space="preserve">Haben Sie externe Hilfestellungen </w:t>
            </w:r>
            <w:r w:rsidR="002333FF" w:rsidRPr="00AF3111">
              <w:rPr>
                <w:rFonts w:ascii="Arial Narrow" w:hAnsi="Arial Narrow" w:cs="Arial"/>
                <w:b/>
                <w:sz w:val="22"/>
                <w:szCs w:val="22"/>
              </w:rPr>
              <w:t xml:space="preserve">zum Ausfüllen der Formblätter </w:t>
            </w: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in Anspruch genommen</w:t>
            </w:r>
            <w:r w:rsidR="002005AF" w:rsidRPr="00AF3111">
              <w:rPr>
                <w:rFonts w:ascii="Arial Narrow" w:hAnsi="Arial Narrow" w:cs="Arial"/>
                <w:b/>
                <w:sz w:val="22"/>
                <w:szCs w:val="22"/>
              </w:rPr>
              <w:t>?</w:t>
            </w: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 xml:space="preserve">  Wenn ja, bitte geben Sie an, welche Hilfestellung</w:t>
            </w:r>
            <w:r w:rsidR="002005AF" w:rsidRPr="00AF3111">
              <w:rPr>
                <w:rFonts w:ascii="Arial Narrow" w:hAnsi="Arial Narrow" w:cs="Arial"/>
                <w:b/>
                <w:sz w:val="22"/>
                <w:szCs w:val="22"/>
              </w:rPr>
              <w:t xml:space="preserve"> Sie in Anspruch genommen haben</w:t>
            </w: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?</w:t>
            </w:r>
          </w:p>
        </w:tc>
      </w:tr>
      <w:tr w:rsidR="00AF3111" w:rsidRPr="00AF3111" w14:paraId="2315EEB9" w14:textId="77777777" w:rsidTr="00A417F8">
        <w:trPr>
          <w:trHeight w:val="168"/>
        </w:trPr>
        <w:tc>
          <w:tcPr>
            <w:tcW w:w="9212" w:type="dxa"/>
          </w:tcPr>
          <w:p w14:paraId="59E436C4" w14:textId="3C316D27" w:rsidR="008E6675" w:rsidRPr="00AF3111" w:rsidRDefault="00A417F8" w:rsidP="005638E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Dieser Antrag wurde durch die deutsche Gesellschaft für Hämatologie und medizinische Onkologie e.V. sowie die Deutsche Gesellschaft für Infektiologie e. V. vorformuliert.</w:t>
            </w:r>
          </w:p>
        </w:tc>
      </w:tr>
    </w:tbl>
    <w:p w14:paraId="1B73E9CE" w14:textId="77777777" w:rsidR="008E6675" w:rsidRPr="00AF3111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69DF06E3" w14:textId="77777777">
        <w:tc>
          <w:tcPr>
            <w:tcW w:w="9212" w:type="dxa"/>
          </w:tcPr>
          <w:p w14:paraId="48DD38F6" w14:textId="62BF7CF8" w:rsidR="008E6675" w:rsidRPr="00AF3111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Angefragte Untersuchungs- und Beh</w:t>
            </w:r>
            <w:r w:rsidR="002333FF" w:rsidRPr="00AF3111">
              <w:rPr>
                <w:rFonts w:ascii="Arial Narrow" w:hAnsi="Arial Narrow" w:cs="Arial"/>
                <w:b/>
                <w:sz w:val="22"/>
                <w:szCs w:val="22"/>
              </w:rPr>
              <w:t>andlungsmethode</w:t>
            </w:r>
          </w:p>
        </w:tc>
      </w:tr>
      <w:tr w:rsidR="00AF3111" w:rsidRPr="00AF3111" w14:paraId="3534B4A0" w14:textId="77777777">
        <w:tc>
          <w:tcPr>
            <w:tcW w:w="9212" w:type="dxa"/>
          </w:tcPr>
          <w:p w14:paraId="2C182448" w14:textId="7072C54A" w:rsidR="008E6675" w:rsidRPr="00AF3111" w:rsidRDefault="001D3E9D" w:rsidP="005638EB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Imipenem-Cilastatin-Relebactam</w:t>
            </w:r>
            <w:proofErr w:type="spellEnd"/>
          </w:p>
        </w:tc>
      </w:tr>
    </w:tbl>
    <w:p w14:paraId="42022921" w14:textId="77777777" w:rsidR="008E6675" w:rsidRPr="00AF3111" w:rsidRDefault="008E6675" w:rsidP="005638EB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16B6F275" w14:textId="77777777">
        <w:tc>
          <w:tcPr>
            <w:tcW w:w="9212" w:type="dxa"/>
          </w:tcPr>
          <w:p w14:paraId="67F0AA02" w14:textId="4EF70D85" w:rsidR="008E6675" w:rsidRPr="00AF3111" w:rsidRDefault="008E6675" w:rsidP="00596F9A">
            <w:pPr>
              <w:tabs>
                <w:tab w:val="left" w:pos="7465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Alternative Bezeichnung(en) der Methode</w:t>
            </w: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</w:p>
        </w:tc>
      </w:tr>
      <w:tr w:rsidR="00AF3111" w:rsidRPr="00AF3111" w14:paraId="6AA1CD49" w14:textId="77777777">
        <w:tc>
          <w:tcPr>
            <w:tcW w:w="9212" w:type="dxa"/>
          </w:tcPr>
          <w:p w14:paraId="03804348" w14:textId="030C630E" w:rsidR="008E6675" w:rsidRPr="00AF3111" w:rsidRDefault="001C409F" w:rsidP="005638EB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Recarbrio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>®</w:t>
            </w:r>
          </w:p>
        </w:tc>
      </w:tr>
    </w:tbl>
    <w:p w14:paraId="5C4D6932" w14:textId="77777777" w:rsidR="004C4F82" w:rsidRPr="00AF3111" w:rsidRDefault="004C4F8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6FC43EE4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0C9" w14:textId="48FE42C0" w:rsidR="004C4F82" w:rsidRPr="00AF3111" w:rsidRDefault="004C4F82" w:rsidP="004C4F82">
            <w:pPr>
              <w:tabs>
                <w:tab w:val="left" w:pos="7465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Beruht die neue Untersuchungs- und Behandlungsmethode vollständig oder in Teilen auf dem Einsatz eines Medizinproduktes?</w:t>
            </w: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</w:p>
        </w:tc>
      </w:tr>
      <w:tr w:rsidR="00AF3111" w:rsidRPr="00AF3111" w14:paraId="049FBCCE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A39" w14:textId="602D4134" w:rsidR="004C4F82" w:rsidRPr="00AF3111" w:rsidRDefault="008B7669" w:rsidP="008B7669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[</w:t>
            </w:r>
            <w:r w:rsidRPr="00AF3111">
              <w:rPr>
                <w:rFonts w:ascii="Arial Narrow" w:hAnsi="Arial Narrow" w:cs="Arial"/>
                <w:sz w:val="22"/>
                <w:szCs w:val="22"/>
                <w:highlight w:val="yellow"/>
              </w:rPr>
              <w:t>nein ankreuzen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>]</w:t>
            </w:r>
          </w:p>
        </w:tc>
      </w:tr>
    </w:tbl>
    <w:p w14:paraId="7F1AD41E" w14:textId="77777777" w:rsidR="008E6675" w:rsidRPr="00AF3111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5055E8B5" w14:textId="77777777" w:rsidTr="00CE63B4">
        <w:tc>
          <w:tcPr>
            <w:tcW w:w="9212" w:type="dxa"/>
          </w:tcPr>
          <w:p w14:paraId="43488653" w14:textId="42AC168A" w:rsidR="00492AB4" w:rsidRPr="00AF3111" w:rsidRDefault="00492AB4" w:rsidP="006354B6">
            <w:pPr>
              <w:tabs>
                <w:tab w:val="left" w:pos="7465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Wurde für diese angefrag</w:t>
            </w:r>
            <w:r w:rsidR="00DC6CBD" w:rsidRPr="00AF3111">
              <w:rPr>
                <w:rFonts w:ascii="Arial Narrow" w:hAnsi="Arial Narrow" w:cs="Arial"/>
                <w:b/>
                <w:sz w:val="22"/>
                <w:szCs w:val="22"/>
              </w:rPr>
              <w:t>te Untersuchungs- und Behandlungsmethode von Ihrem Kranke</w:t>
            </w:r>
            <w:r w:rsidR="00DB14F4" w:rsidRPr="00AF3111">
              <w:rPr>
                <w:rFonts w:ascii="Arial Narrow" w:hAnsi="Arial Narrow" w:cs="Arial"/>
                <w:b/>
                <w:sz w:val="22"/>
                <w:szCs w:val="22"/>
              </w:rPr>
              <w:t>nhaus bereits vor dem 01.01.202</w:t>
            </w:r>
            <w:r w:rsidR="00822FD2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="00DC6CBD" w:rsidRPr="00AF3111">
              <w:rPr>
                <w:rFonts w:ascii="Arial Narrow" w:hAnsi="Arial Narrow" w:cs="Arial"/>
                <w:b/>
                <w:sz w:val="22"/>
                <w:szCs w:val="22"/>
              </w:rPr>
              <w:t xml:space="preserve"> eine Anfrage gemäß §6 Abs. 2 </w:t>
            </w:r>
            <w:proofErr w:type="spellStart"/>
            <w:r w:rsidR="00DC6CBD" w:rsidRPr="00AF3111">
              <w:rPr>
                <w:rFonts w:ascii="Arial Narrow" w:hAnsi="Arial Narrow" w:cs="Arial"/>
                <w:b/>
                <w:sz w:val="22"/>
                <w:szCs w:val="22"/>
              </w:rPr>
              <w:t>KHEntG</w:t>
            </w:r>
            <w:proofErr w:type="spellEnd"/>
            <w:r w:rsidR="00DC6CBD" w:rsidRPr="00AF3111">
              <w:rPr>
                <w:rFonts w:ascii="Arial Narrow" w:hAnsi="Arial Narrow" w:cs="Arial"/>
                <w:b/>
                <w:sz w:val="22"/>
                <w:szCs w:val="22"/>
              </w:rPr>
              <w:t xml:space="preserve"> an das InEK übermittelt</w:t>
            </w:r>
            <w:r w:rsidR="002333FF" w:rsidRPr="00AF3111">
              <w:rPr>
                <w:rFonts w:ascii="Arial Narrow" w:hAnsi="Arial Narrow" w:cs="Arial"/>
                <w:b/>
                <w:sz w:val="22"/>
                <w:szCs w:val="22"/>
              </w:rPr>
              <w:t>?</w:t>
            </w:r>
          </w:p>
        </w:tc>
      </w:tr>
      <w:tr w:rsidR="00CE63B4" w:rsidRPr="00AF3111" w14:paraId="3F239A32" w14:textId="77777777" w:rsidTr="00CE63B4">
        <w:tc>
          <w:tcPr>
            <w:tcW w:w="9212" w:type="dxa"/>
          </w:tcPr>
          <w:p w14:paraId="7DD0679B" w14:textId="3BC57C35" w:rsidR="00CE63B4" w:rsidRPr="00302781" w:rsidRDefault="00CE63B4" w:rsidP="00CE63B4">
            <w:pPr>
              <w:rPr>
                <w:rFonts w:ascii="Arial Narrow" w:hAnsi="Arial Narrow"/>
                <w:sz w:val="22"/>
                <w:highlight w:val="yellow"/>
              </w:rPr>
            </w:pPr>
            <w:r>
              <w:rPr>
                <w:rFonts w:ascii="Arial Narrow" w:hAnsi="Arial Narrow"/>
                <w:sz w:val="22"/>
                <w:highlight w:val="yellow"/>
              </w:rPr>
              <w:t>[</w:t>
            </w:r>
            <w:r w:rsidRPr="009B6935">
              <w:rPr>
                <w:rFonts w:ascii="Arial Narrow" w:hAnsi="Arial Narrow"/>
                <w:sz w:val="22"/>
                <w:highlight w:val="yellow"/>
              </w:rPr>
              <w:t xml:space="preserve">hier ja ankreuzen, falls Sie zu den Häusern gehören, die im Vorjahr eine Anfrage gestellt haben, sonst nein ankreuzen. Bei </w:t>
            </w:r>
            <w:proofErr w:type="gramStart"/>
            <w:r w:rsidRPr="009B6935">
              <w:rPr>
                <w:rFonts w:ascii="Arial Narrow" w:hAnsi="Arial Narrow"/>
                <w:sz w:val="22"/>
                <w:highlight w:val="yellow"/>
              </w:rPr>
              <w:t>ja Anfrage</w:t>
            </w:r>
            <w:proofErr w:type="gramEnd"/>
            <w:r w:rsidRPr="009B6935">
              <w:rPr>
                <w:rFonts w:ascii="Arial Narrow" w:hAnsi="Arial Narrow"/>
                <w:sz w:val="22"/>
                <w:highlight w:val="yellow"/>
              </w:rPr>
              <w:t xml:space="preserve"> aus dem Vorjahr im Datenportal auswählen. Die Angabe der vorangegangenen Verfahrensnummer ist Pflicht, diese wird im Formular durch </w:t>
            </w:r>
            <w:r>
              <w:rPr>
                <w:rFonts w:ascii="Arial Narrow" w:hAnsi="Arial Narrow"/>
                <w:sz w:val="22"/>
                <w:highlight w:val="yellow"/>
              </w:rPr>
              <w:t xml:space="preserve">die </w:t>
            </w:r>
            <w:r w:rsidRPr="009B6935">
              <w:rPr>
                <w:rFonts w:ascii="Arial Narrow" w:hAnsi="Arial Narrow"/>
                <w:sz w:val="22"/>
                <w:highlight w:val="yellow"/>
              </w:rPr>
              <w:t>Suchfunktion unterstützt]</w:t>
            </w:r>
          </w:p>
        </w:tc>
      </w:tr>
    </w:tbl>
    <w:p w14:paraId="53DF57CA" w14:textId="77777777" w:rsidR="00492AB4" w:rsidRPr="00AF3111" w:rsidRDefault="00492AB4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0823808B" w14:textId="77777777">
        <w:tc>
          <w:tcPr>
            <w:tcW w:w="9212" w:type="dxa"/>
          </w:tcPr>
          <w:p w14:paraId="3A37C23D" w14:textId="6AFD43C7" w:rsidR="008E6675" w:rsidRPr="00AF3111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Beschreibung der neuen Methode</w:t>
            </w:r>
          </w:p>
        </w:tc>
      </w:tr>
      <w:tr w:rsidR="00AF3111" w:rsidRPr="00AF3111" w14:paraId="5696BA9D" w14:textId="77777777">
        <w:tc>
          <w:tcPr>
            <w:tcW w:w="9212" w:type="dxa"/>
          </w:tcPr>
          <w:p w14:paraId="2E2FFF5B" w14:textId="77777777" w:rsidR="009A0CB2" w:rsidRPr="00AF3111" w:rsidRDefault="009A0CB2" w:rsidP="009A0CB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Wirkweise: </w:t>
            </w:r>
          </w:p>
          <w:p w14:paraId="02641E1A" w14:textId="77777777" w:rsidR="009A0CB2" w:rsidRPr="00AF3111" w:rsidRDefault="009A0CB2" w:rsidP="009A0CB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Imipenem-Cilastatin-Relebactam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stellt eine neue Therapieoption für Patienten dar, die eine Infektion mit resistenten, aeroben Gram-negativen Erregern haben. </w:t>
            </w:r>
          </w:p>
          <w:p w14:paraId="55E38F54" w14:textId="77777777" w:rsidR="009A0CB2" w:rsidRPr="00AF3111" w:rsidRDefault="009A0CB2" w:rsidP="009A0CB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Die bakterizide Aktivität von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Imipenem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beruht dabei auf der Inhibition von Penicillin-bindenden Proteinen (PBP), was zur Hemmung der bakteriellen Peptidoglykan-Zellwandsynthese führt.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Cilastatin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schränkt dabei die renale Verstoffwechselung von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Imipenem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ein und hat keine antibakterielle Aktivität. Durch die Hinzunahme von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Relebactam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– einem Nicht-beta-Laktam-Inhibitor der Ambler-Klasse-A- und Ambler-Klasse-C-beta-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Laktamasen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– zu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Imipinem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>/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Cilastatin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kommt es zu einer Hemmung der Klasse-A-Klebsiella-pneumoniae-Carbapenemase (KPC) und der Breitspektrum-beta-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Laktamasen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extended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>-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spectrum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>-beta-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lactamases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ESBLs), sowie Klasse C-(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AmpC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>-</w:t>
            </w:r>
            <w:proofErr w:type="gramStart"/>
            <w:r w:rsidRPr="00AF3111">
              <w:rPr>
                <w:rFonts w:ascii="Arial Narrow" w:hAnsi="Arial Narrow" w:cs="Arial"/>
                <w:sz w:val="22"/>
                <w:szCs w:val="22"/>
              </w:rPr>
              <w:t>Typ)-</w:t>
            </w:r>
            <w:proofErr w:type="gramEnd"/>
            <w:r w:rsidRPr="00AF3111">
              <w:rPr>
                <w:rFonts w:ascii="Arial Narrow" w:hAnsi="Arial Narrow" w:cs="Arial"/>
                <w:sz w:val="22"/>
                <w:szCs w:val="22"/>
              </w:rPr>
              <w:t>beta-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Laktamasen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, einschließlich der von Pseudomonas induzierte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Cephalosporinase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(Pseudomonas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derived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Cephalosporinase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, PDC). Hierdurch wird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Imipenem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vor dem Abbau durch diese Beta-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Lactamasen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geschützt.</w:t>
            </w:r>
          </w:p>
          <w:p w14:paraId="15FE7917" w14:textId="77777777" w:rsidR="009A0CB2" w:rsidRPr="00AF3111" w:rsidRDefault="009A0CB2" w:rsidP="009A0CB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E781D3A" w14:textId="77777777" w:rsidR="009A0CB2" w:rsidRPr="00AF3111" w:rsidRDefault="009A0CB2" w:rsidP="009A0CB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Evidenzlage:</w:t>
            </w:r>
          </w:p>
          <w:p w14:paraId="41062AEA" w14:textId="77777777" w:rsidR="009A0CB2" w:rsidRPr="00AF3111" w:rsidRDefault="009A0CB2" w:rsidP="009A0CB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In einer randomisierten Studie (RESTORE-IMI 1, Motsch et al, CID 2020;70:1799)) wurden 47 Patienten mit Infektionen durch Gram-negative,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Imipenem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-unempfindliche Erregern untersucht. </w:t>
            </w:r>
          </w:p>
          <w:p w14:paraId="24A91B9E" w14:textId="77777777" w:rsidR="009A0CB2" w:rsidRPr="00AF3111" w:rsidRDefault="009A0CB2" w:rsidP="009A0CB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Es wurden Patienten mit einer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cIAI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(komplizierte intraabdominale Infektion),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cUTI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(komplizierte Harnwegsinfektion) oder HAP/VAP (im Krankenhaus erworbene / beatmungsassoziierte Lungenentzündung) eingeschlossen. </w:t>
            </w:r>
          </w:p>
          <w:p w14:paraId="06953041" w14:textId="77777777" w:rsidR="009A0CB2" w:rsidRPr="00AF3111" w:rsidRDefault="009A0CB2" w:rsidP="009A0CB2">
            <w:pPr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Als primärer Endpunkt wurde das positive Gesamtansprechen in der modifizierten mikrobiologischen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Intent-to-Treat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Population (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mMITT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>; Nachweis eines zu Beginn für die Erkrankung ursächlichen Pathogens und Erhalt ≥1-Dosis der Studienmedikation) untersucht. Das Gesamtansprechen war je nach Infektionstyp unterschiedlich definiert</w:t>
            </w:r>
          </w:p>
          <w:p w14:paraId="2468D567" w14:textId="77777777" w:rsidR="009A0CB2" w:rsidRPr="00AF3111" w:rsidRDefault="009A0CB2" w:rsidP="009A0CB2">
            <w:pPr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Sekundäre Endpunkte waren das positive klinische Ansprechen und die Gesamtmortalität an Tag 28 (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mMITT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) sowie die behandlungsbedingte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Nephrotoxizität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Sicherheitspolulation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; Patienten mit Erhalt von ≥1-Studienmedikationsgabe). </w:t>
            </w:r>
          </w:p>
          <w:p w14:paraId="64CF9533" w14:textId="77777777" w:rsidR="009A0CB2" w:rsidRPr="00AF3111" w:rsidRDefault="009A0CB2" w:rsidP="009A0CB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lastRenderedPageBreak/>
              <w:t>Bezüglich des primären Endpunkts wurde mit IMI/REL bei 71% der Studienteilnehmer ein positives Gesamtansprechen erzielt und mit COL + IMI/CIL bei 70% der Patienten (90% Konfidenzintervall [CI] für Differenz, -27,5, 21,4).</w:t>
            </w:r>
          </w:p>
          <w:p w14:paraId="0A9BBBFE" w14:textId="77777777" w:rsidR="009A0CB2" w:rsidRPr="00AF3111" w:rsidRDefault="009A0CB2" w:rsidP="009A0CB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In der Analyse der sekundären Endpunkte wurde ein positives klinisches Ansprechen an Tag 28 in 71% unter IMI/REL vs. 40% unter COL +IMI/CIL (90% CI, 1,3, 51,5) beobachtet, während die Sterblichkeit an Tag 28 bei 10% unter IMI/REL vs. 30% unter COL +IMI/CIL (90% CI, -46,4, 6,7) lag. </w:t>
            </w:r>
          </w:p>
          <w:p w14:paraId="1387B96C" w14:textId="77777777" w:rsidR="009A0CB2" w:rsidRPr="00AF3111" w:rsidRDefault="009A0CB2" w:rsidP="009A0CB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8E115E9" w14:textId="77777777" w:rsidR="009A0CB2" w:rsidRPr="00AF3111" w:rsidRDefault="009A0CB2" w:rsidP="009A0CB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In der klinischen Studie (RESTORE-IMI II, Titov et al, CID 2021, Dez 6; 73(11)) bei Patienten mit HAP, einschließlich VAP, zeigte sich eine Nicht-Unterlegenheit gegenüber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Piperacillin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>/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Tazobactam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. Unter den Patienten hatten 6,2 % (33/535) zu Beginn eine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Bakteriämie.Von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537 randomisierten Patienten erhielten 264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Imipenem-Cilastatin-Relebactam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und 267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Piperacillin-Tazobactam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. Es zeigte sich eine Gesamtmortalität an Tag 28 von 15,9% in der IMI/REL Gruppe vs. 21,3% in der PIP/TAZ Gruppe (Differenz, -5,3% [95% Konfidenzintervall (CI); -11,9% bis 1,2%]). Ein positives klinisches Ansprechen zum Zeitpunkt der frühen Nachbeobachtung betrug 61,0% vs. 55,8% (Differenz, 5,0% [95% CI, -3,2% bis 13,2%]) </w:t>
            </w:r>
          </w:p>
          <w:p w14:paraId="4E1275E4" w14:textId="77777777" w:rsidR="009A0CB2" w:rsidRDefault="009A0CB2" w:rsidP="009A0CB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E27BE76" w14:textId="2B4BAAEF" w:rsidR="0063707C" w:rsidRDefault="0063707C" w:rsidP="009A0CB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Quellen: </w:t>
            </w:r>
          </w:p>
          <w:p w14:paraId="64196EE7" w14:textId="45364741" w:rsidR="002B4AF7" w:rsidRPr="005E3034" w:rsidRDefault="002B4AF7" w:rsidP="0063707C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E3034">
              <w:rPr>
                <w:rFonts w:ascii="Arial Narrow" w:hAnsi="Arial Narrow" w:cs="Arial"/>
                <w:sz w:val="22"/>
                <w:szCs w:val="22"/>
              </w:rPr>
              <w:t xml:space="preserve">Europäische Arzneimittel-Agentur (EMA). </w:t>
            </w:r>
            <w:proofErr w:type="spellStart"/>
            <w:r w:rsidRPr="005E3034">
              <w:rPr>
                <w:rFonts w:ascii="Arial Narrow" w:hAnsi="Arial Narrow" w:cs="Arial"/>
                <w:sz w:val="22"/>
                <w:szCs w:val="22"/>
              </w:rPr>
              <w:t>Recarbrio</w:t>
            </w:r>
            <w:proofErr w:type="spellEnd"/>
            <w:r w:rsidRPr="005E3034">
              <w:rPr>
                <w:rFonts w:ascii="Arial Narrow" w:hAnsi="Arial Narrow" w:cs="Arial"/>
                <w:sz w:val="22"/>
                <w:szCs w:val="22"/>
              </w:rPr>
              <w:t xml:space="preserve">: Europäischer Öffentlicher Beurteilungsbericht (EPAR) – Produktinformation. London: EMA; 2019 [aktualisiert 2024; Zugriff am 12. September 2025]. Verfügbar unter: </w:t>
            </w:r>
            <w:r w:rsidR="00826E1F" w:rsidRPr="00826E1F">
              <w:rPr>
                <w:rFonts w:ascii="Arial Narrow" w:hAnsi="Arial Narrow" w:cs="Arial"/>
                <w:sz w:val="22"/>
                <w:szCs w:val="22"/>
              </w:rPr>
              <w:t>https://www.ema.europa.eu/de/documents/product-information/recarbrio-epar-product-information_de.pdf</w:t>
            </w:r>
          </w:p>
          <w:p w14:paraId="664823F0" w14:textId="259F1C9D" w:rsidR="0063707C" w:rsidRDefault="00BA254F" w:rsidP="0063707C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Motsch J,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et al.,</w:t>
            </w:r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RESTORE-IMI 1: A Multicenter, Randomized, Double-blind Trial Comparing Efficacy and Safety of Imipenem/</w:t>
            </w:r>
            <w:proofErr w:type="spellStart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Relebactam</w:t>
            </w:r>
            <w:proofErr w:type="spellEnd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vs Colistin Plus Imipenem in Patients </w:t>
            </w:r>
            <w:proofErr w:type="gramStart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With</w:t>
            </w:r>
            <w:proofErr w:type="gramEnd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Imipenem-</w:t>
            </w:r>
            <w:proofErr w:type="spellStart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nonsusceptible</w:t>
            </w:r>
            <w:proofErr w:type="spellEnd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Bacterial Infections. Clin Infect Dis. 2020 Apr 15;70(9):1799-1808. </w:t>
            </w:r>
            <w:proofErr w:type="spellStart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doi</w:t>
            </w:r>
            <w:proofErr w:type="spellEnd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: 10.1093/</w:t>
            </w:r>
            <w:proofErr w:type="spellStart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cid</w:t>
            </w:r>
            <w:proofErr w:type="spellEnd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/ciz530. PMID: 31400759; PMCID: PMC7156774.</w:t>
            </w:r>
          </w:p>
          <w:p w14:paraId="0DBF993F" w14:textId="4737DFE2" w:rsidR="00A54198" w:rsidRPr="005E3034" w:rsidRDefault="00A54198" w:rsidP="005E3034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Titov I,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et al., </w:t>
            </w:r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A Randomized, Double-blind, Multicenter Trial Comparing Efficacy and Safety of Imipenem/</w:t>
            </w:r>
            <w:proofErr w:type="spellStart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Cilastatin</w:t>
            </w:r>
            <w:proofErr w:type="spellEnd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/</w:t>
            </w:r>
            <w:proofErr w:type="spellStart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Relebactam</w:t>
            </w:r>
            <w:proofErr w:type="spellEnd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Versus Piperacillin/Tazobactam in Adults </w:t>
            </w:r>
            <w:proofErr w:type="gramStart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With</w:t>
            </w:r>
            <w:proofErr w:type="gramEnd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Hospital-acquired or Ventilator-associated Bacterial Pneumonia (RESTORE-IMI 2 Study). Clin Infect Dis. 2021 Dec 6;73(11</w:t>
            </w:r>
            <w:proofErr w:type="gramStart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):e</w:t>
            </w:r>
            <w:proofErr w:type="gramEnd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4539-e4548. </w:t>
            </w:r>
            <w:proofErr w:type="spellStart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doi</w:t>
            </w:r>
            <w:proofErr w:type="spellEnd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: 10.1093/</w:t>
            </w:r>
            <w:proofErr w:type="spellStart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cid</w:t>
            </w:r>
            <w:proofErr w:type="spellEnd"/>
            <w:r w:rsidRPr="005E3034">
              <w:rPr>
                <w:rFonts w:ascii="Arial Narrow" w:hAnsi="Arial Narrow" w:cs="Arial"/>
                <w:sz w:val="22"/>
                <w:szCs w:val="22"/>
                <w:lang w:val="en-US"/>
              </w:rPr>
              <w:t>/ciaa803. PMID: 32785589; PMCID: PMC8662781.</w:t>
            </w:r>
          </w:p>
          <w:p w14:paraId="70DFB17D" w14:textId="77777777" w:rsidR="0063707C" w:rsidRPr="005E3034" w:rsidRDefault="0063707C" w:rsidP="009A0CB2">
            <w:pPr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14:paraId="306620B6" w14:textId="20E1A9EC" w:rsidR="00B972AA" w:rsidRDefault="009A0CB2" w:rsidP="005E303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Dosi</w:t>
            </w:r>
            <w:r w:rsidR="008C3A7A">
              <w:rPr>
                <w:rFonts w:ascii="Arial Narrow" w:hAnsi="Arial Narrow" w:cs="Arial"/>
                <w:sz w:val="22"/>
                <w:szCs w:val="22"/>
              </w:rPr>
              <w:t>erung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04B05689" w14:textId="77777777" w:rsidR="00B972AA" w:rsidRDefault="00B972AA" w:rsidP="009A0CB2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972AA">
              <w:rPr>
                <w:rFonts w:ascii="Arial Narrow" w:hAnsi="Arial Narrow" w:cs="Arial"/>
                <w:sz w:val="22"/>
                <w:szCs w:val="22"/>
              </w:rPr>
              <w:t>Recarbrio</w:t>
            </w:r>
            <w:proofErr w:type="spellEnd"/>
            <w:r w:rsidRPr="00B972AA">
              <w:rPr>
                <w:rFonts w:ascii="Arial Narrow" w:hAnsi="Arial Narrow" w:cs="Arial"/>
                <w:sz w:val="22"/>
                <w:szCs w:val="22"/>
              </w:rPr>
              <w:t xml:space="preserve"> sollte zur Behandlung von Infektionen mit aeroben Gram-negativen Organismen bei erwachsenen Patienten mit begrenzten Therapieoptionen nur nach Beratung durch einen auf dem Gebiet der Infektiologie erfahrenen Facharzt angewendet werden. </w:t>
            </w:r>
          </w:p>
          <w:p w14:paraId="202886AD" w14:textId="186A3984" w:rsidR="00407514" w:rsidRDefault="00407514" w:rsidP="009A0CB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Für Patienten mit einer Kreatinin-Clearance </w:t>
            </w:r>
            <w:r w:rsidR="00E8744E">
              <w:rPr>
                <w:rFonts w:ascii="Arial Narrow" w:hAnsi="Arial Narrow" w:cs="Arial"/>
                <w:sz w:val="22"/>
                <w:szCs w:val="22"/>
              </w:rPr>
              <w:t xml:space="preserve">&gt;= 90 ml/min: </w:t>
            </w:r>
          </w:p>
          <w:p w14:paraId="0AF79188" w14:textId="361C85B7" w:rsidR="00DB14F4" w:rsidRPr="00AF3111" w:rsidRDefault="009A0CB2" w:rsidP="009A0CB2">
            <w:pPr>
              <w:rPr>
                <w:rFonts w:ascii="Arial Narrow" w:hAnsi="Arial Narrow" w:cs="Arial"/>
                <w:sz w:val="22"/>
                <w:szCs w:val="22"/>
                <w:lang w:val="de-CH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Bei </w:t>
            </w:r>
            <w:r w:rsidR="000C6D4C">
              <w:rPr>
                <w:rFonts w:ascii="Arial Narrow" w:hAnsi="Arial Narrow" w:cs="Arial"/>
                <w:sz w:val="22"/>
                <w:szCs w:val="22"/>
              </w:rPr>
              <w:t>im Krankenhaus erworbener Pneumonie (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>HAP</w:t>
            </w:r>
            <w:r w:rsidR="000C6D4C">
              <w:rPr>
                <w:rFonts w:ascii="Arial Narrow" w:hAnsi="Arial Narrow" w:cs="Arial"/>
                <w:sz w:val="22"/>
                <w:szCs w:val="22"/>
              </w:rPr>
              <w:t xml:space="preserve">) einschließlich beatmungsassoziierter </w:t>
            </w:r>
            <w:proofErr w:type="gramStart"/>
            <w:r w:rsidR="00704F49">
              <w:rPr>
                <w:rFonts w:ascii="Arial Narrow" w:hAnsi="Arial Narrow" w:cs="Arial"/>
                <w:sz w:val="22"/>
                <w:szCs w:val="22"/>
              </w:rPr>
              <w:t>Pneumonie(</w:t>
            </w:r>
            <w:proofErr w:type="gramEnd"/>
            <w:r w:rsidRPr="00AF3111">
              <w:rPr>
                <w:rFonts w:ascii="Arial Narrow" w:hAnsi="Arial Narrow" w:cs="Arial"/>
                <w:sz w:val="22"/>
                <w:szCs w:val="22"/>
              </w:rPr>
              <w:t>VAP</w:t>
            </w:r>
            <w:r w:rsidR="00704F49">
              <w:rPr>
                <w:rFonts w:ascii="Arial Narrow" w:hAnsi="Arial Narrow" w:cs="Arial"/>
                <w:sz w:val="22"/>
                <w:szCs w:val="22"/>
              </w:rPr>
              <w:t>)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beträgt die Dosis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Imipenem-Cilastatin-Relebactam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500 mg/500 mg/250 mg alle 6 Stunden für 7-14 Tage.</w:t>
            </w:r>
            <w:r w:rsidR="00971210">
              <w:rPr>
                <w:rFonts w:ascii="Arial Narrow" w:hAnsi="Arial Narrow" w:cs="Arial"/>
                <w:sz w:val="22"/>
                <w:szCs w:val="22"/>
              </w:rPr>
              <w:t xml:space="preserve"> Bei Patienten </w:t>
            </w:r>
            <w:r w:rsidR="00FD4D3B">
              <w:rPr>
                <w:rFonts w:ascii="Arial Narrow" w:hAnsi="Arial Narrow" w:cs="Arial"/>
                <w:sz w:val="22"/>
                <w:szCs w:val="22"/>
              </w:rPr>
              <w:t xml:space="preserve">mit </w:t>
            </w:r>
            <w:r w:rsidR="001D74AE">
              <w:rPr>
                <w:rFonts w:ascii="Arial Narrow" w:hAnsi="Arial Narrow" w:cs="Arial"/>
                <w:sz w:val="22"/>
                <w:szCs w:val="22"/>
              </w:rPr>
              <w:t xml:space="preserve">Infektionen mit aeroben Gram-negativen Erregern und bei Patienten mit begrenzten Therapieoptionen </w:t>
            </w:r>
            <w:r w:rsidR="0081137E">
              <w:rPr>
                <w:rFonts w:ascii="Arial Narrow" w:hAnsi="Arial Narrow" w:cs="Arial"/>
                <w:sz w:val="22"/>
                <w:szCs w:val="22"/>
              </w:rPr>
              <w:t xml:space="preserve">wird die Behandlungsdauer entsprechend </w:t>
            </w:r>
            <w:proofErr w:type="gramStart"/>
            <w:r w:rsidR="0081137E">
              <w:rPr>
                <w:rFonts w:ascii="Arial Narrow" w:hAnsi="Arial Narrow" w:cs="Arial"/>
                <w:sz w:val="22"/>
                <w:szCs w:val="22"/>
              </w:rPr>
              <w:t>des Infektionsortes</w:t>
            </w:r>
            <w:proofErr w:type="gramEnd"/>
            <w:r w:rsidR="0081137E">
              <w:rPr>
                <w:rFonts w:ascii="Arial Narrow" w:hAnsi="Arial Narrow" w:cs="Arial"/>
                <w:sz w:val="22"/>
                <w:szCs w:val="22"/>
              </w:rPr>
              <w:t xml:space="preserve"> angepasst.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Die empfohlene </w:t>
            </w:r>
            <w:proofErr w:type="gramStart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Behandlungsdauer  </w:t>
            </w:r>
            <w:r w:rsidR="009E1E6A" w:rsidRPr="009E1E6A">
              <w:rPr>
                <w:rFonts w:ascii="Arial Narrow" w:hAnsi="Arial Narrow" w:cs="Arial"/>
                <w:sz w:val="22"/>
                <w:szCs w:val="22"/>
              </w:rPr>
              <w:t>für</w:t>
            </w:r>
            <w:proofErr w:type="gramEnd"/>
            <w:r w:rsidR="009E1E6A" w:rsidRPr="009E1E6A">
              <w:rPr>
                <w:rFonts w:ascii="Arial Narrow" w:hAnsi="Arial Narrow" w:cs="Arial"/>
                <w:sz w:val="22"/>
                <w:szCs w:val="22"/>
              </w:rPr>
              <w:t xml:space="preserve"> Patienten mit komplizierten intraabdominellen Infektionen (</w:t>
            </w:r>
            <w:proofErr w:type="spellStart"/>
            <w:r w:rsidR="009E1E6A" w:rsidRPr="009E1E6A">
              <w:rPr>
                <w:rFonts w:ascii="Arial Narrow" w:hAnsi="Arial Narrow" w:cs="Arial"/>
                <w:sz w:val="22"/>
                <w:szCs w:val="22"/>
              </w:rPr>
              <w:t>complicated</w:t>
            </w:r>
            <w:proofErr w:type="spellEnd"/>
            <w:r w:rsidR="009E1E6A" w:rsidRPr="009E1E6A">
              <w:rPr>
                <w:rFonts w:ascii="Arial Narrow" w:hAnsi="Arial Narrow" w:cs="Arial"/>
                <w:sz w:val="22"/>
                <w:szCs w:val="22"/>
              </w:rPr>
              <w:t xml:space="preserve"> intra-abdominal </w:t>
            </w:r>
            <w:proofErr w:type="spellStart"/>
            <w:r w:rsidR="009E1E6A" w:rsidRPr="009E1E6A">
              <w:rPr>
                <w:rFonts w:ascii="Arial Narrow" w:hAnsi="Arial Narrow" w:cs="Arial"/>
                <w:sz w:val="22"/>
                <w:szCs w:val="22"/>
              </w:rPr>
              <w:t>infections</w:t>
            </w:r>
            <w:proofErr w:type="spellEnd"/>
            <w:r w:rsidR="009E1E6A" w:rsidRPr="009E1E6A">
              <w:rPr>
                <w:rFonts w:ascii="Arial Narrow" w:hAnsi="Arial Narrow" w:cs="Arial"/>
                <w:sz w:val="22"/>
                <w:szCs w:val="22"/>
              </w:rPr>
              <w:t xml:space="preserve"> [</w:t>
            </w:r>
            <w:proofErr w:type="spellStart"/>
            <w:r w:rsidR="009E1E6A" w:rsidRPr="009E1E6A">
              <w:rPr>
                <w:rFonts w:ascii="Arial Narrow" w:hAnsi="Arial Narrow" w:cs="Arial"/>
                <w:sz w:val="22"/>
                <w:szCs w:val="22"/>
              </w:rPr>
              <w:t>cIAI</w:t>
            </w:r>
            <w:proofErr w:type="spellEnd"/>
            <w:r w:rsidR="009E1E6A" w:rsidRPr="009E1E6A">
              <w:rPr>
                <w:rFonts w:ascii="Arial Narrow" w:hAnsi="Arial Narrow" w:cs="Arial"/>
                <w:sz w:val="22"/>
                <w:szCs w:val="22"/>
              </w:rPr>
              <w:t>]) oder komplizierten Harnwegsinfektionen (</w:t>
            </w:r>
            <w:proofErr w:type="spellStart"/>
            <w:r w:rsidR="009E1E6A" w:rsidRPr="009E1E6A">
              <w:rPr>
                <w:rFonts w:ascii="Arial Narrow" w:hAnsi="Arial Narrow" w:cs="Arial"/>
                <w:sz w:val="22"/>
                <w:szCs w:val="22"/>
              </w:rPr>
              <w:t>complicated</w:t>
            </w:r>
            <w:proofErr w:type="spellEnd"/>
            <w:r w:rsidR="009E1E6A" w:rsidRPr="009E1E6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9E1E6A" w:rsidRPr="009E1E6A">
              <w:rPr>
                <w:rFonts w:ascii="Arial Narrow" w:hAnsi="Arial Narrow" w:cs="Arial"/>
                <w:sz w:val="22"/>
                <w:szCs w:val="22"/>
              </w:rPr>
              <w:t>urinary</w:t>
            </w:r>
            <w:proofErr w:type="spellEnd"/>
            <w:r w:rsidR="009E1E6A" w:rsidRPr="009E1E6A">
              <w:rPr>
                <w:rFonts w:ascii="Arial Narrow" w:hAnsi="Arial Narrow" w:cs="Arial"/>
                <w:sz w:val="22"/>
                <w:szCs w:val="22"/>
              </w:rPr>
              <w:t xml:space="preserve"> tract </w:t>
            </w:r>
            <w:proofErr w:type="spellStart"/>
            <w:proofErr w:type="gramStart"/>
            <w:r w:rsidR="009E1E6A" w:rsidRPr="009E1E6A">
              <w:rPr>
                <w:rFonts w:ascii="Arial Narrow" w:hAnsi="Arial Narrow" w:cs="Arial"/>
                <w:sz w:val="22"/>
                <w:szCs w:val="22"/>
              </w:rPr>
              <w:t>infections</w:t>
            </w:r>
            <w:proofErr w:type="spellEnd"/>
            <w:r w:rsidR="009E1E6A" w:rsidRPr="009E1E6A">
              <w:rPr>
                <w:rFonts w:ascii="Arial Narrow" w:hAnsi="Arial Narrow" w:cs="Arial"/>
                <w:sz w:val="22"/>
                <w:szCs w:val="22"/>
              </w:rPr>
              <w:t>,[</w:t>
            </w:r>
            <w:proofErr w:type="spellStart"/>
            <w:proofErr w:type="gramEnd"/>
            <w:r w:rsidR="009E1E6A" w:rsidRPr="009E1E6A">
              <w:rPr>
                <w:rFonts w:ascii="Arial Narrow" w:hAnsi="Arial Narrow" w:cs="Arial"/>
                <w:sz w:val="22"/>
                <w:szCs w:val="22"/>
              </w:rPr>
              <w:t>cUTI</w:t>
            </w:r>
            <w:proofErr w:type="spellEnd"/>
            <w:r w:rsidR="009E1E6A" w:rsidRPr="009E1E6A">
              <w:rPr>
                <w:rFonts w:ascii="Arial Narrow" w:hAnsi="Arial Narrow" w:cs="Arial"/>
                <w:sz w:val="22"/>
                <w:szCs w:val="22"/>
              </w:rPr>
              <w:t>])</w:t>
            </w:r>
            <w:r w:rsidR="009E1E6A" w:rsidRPr="009E1E6A" w:rsidDel="009E1E6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>beträgt 5 bis 10 Tage, kann jedoch bis zu 14 Tage andauern.</w:t>
            </w:r>
            <w:r w:rsidR="00BB5658" w:rsidRPr="00AF3111">
              <w:rPr>
                <w:rFonts w:ascii="Arial Narrow" w:hAnsi="Arial Narrow" w:cs="Arial"/>
                <w:sz w:val="22"/>
                <w:szCs w:val="22"/>
              </w:rPr>
              <w:t xml:space="preserve"> Die Infusionsdauer beträgt jeweils 30 Minuten. Eine Dosisanpassung ist für Patienten mit einer Kreatinin-Clearance (</w:t>
            </w:r>
            <w:proofErr w:type="spellStart"/>
            <w:r w:rsidR="00BB5658" w:rsidRPr="00AF3111">
              <w:rPr>
                <w:rFonts w:ascii="Arial Narrow" w:hAnsi="Arial Narrow" w:cs="Arial"/>
                <w:sz w:val="22"/>
                <w:szCs w:val="22"/>
              </w:rPr>
              <w:t>CrCl</w:t>
            </w:r>
            <w:proofErr w:type="spellEnd"/>
            <w:r w:rsidR="00BB5658" w:rsidRPr="00AF3111">
              <w:rPr>
                <w:rFonts w:ascii="Arial Narrow" w:hAnsi="Arial Narrow" w:cs="Arial"/>
                <w:sz w:val="22"/>
                <w:szCs w:val="22"/>
              </w:rPr>
              <w:t xml:space="preserve">) &lt; 90 ml/min gemäß der Fachinformation empfohlen. </w:t>
            </w:r>
          </w:p>
        </w:tc>
      </w:tr>
    </w:tbl>
    <w:p w14:paraId="6F81F951" w14:textId="77777777" w:rsidR="008E6675" w:rsidRPr="00AF3111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73F33158" w14:textId="77777777">
        <w:tc>
          <w:tcPr>
            <w:tcW w:w="9212" w:type="dxa"/>
          </w:tcPr>
          <w:p w14:paraId="684681EC" w14:textId="7F246CCE" w:rsidR="008E6675" w:rsidRPr="00AF3111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Mit welchem OPS wird die Methode verschlüsselt?</w:t>
            </w:r>
          </w:p>
        </w:tc>
      </w:tr>
      <w:tr w:rsidR="00AF3111" w:rsidRPr="00AF3111" w14:paraId="5C95386E" w14:textId="77777777">
        <w:tc>
          <w:tcPr>
            <w:tcW w:w="9212" w:type="dxa"/>
          </w:tcPr>
          <w:p w14:paraId="276EB151" w14:textId="7541D8AE" w:rsidR="00CC7E5F" w:rsidRPr="00302781" w:rsidRDefault="00362A01" w:rsidP="0043558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6-00g.5</w:t>
            </w:r>
          </w:p>
        </w:tc>
      </w:tr>
    </w:tbl>
    <w:p w14:paraId="63A2C327" w14:textId="77777777" w:rsidR="00DC6CBD" w:rsidRPr="00AF3111" w:rsidRDefault="00DC6CBD" w:rsidP="00EE0D0B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1C363EAC" w14:textId="77777777" w:rsidTr="001A1587">
        <w:tc>
          <w:tcPr>
            <w:tcW w:w="9212" w:type="dxa"/>
          </w:tcPr>
          <w:p w14:paraId="76259E49" w14:textId="0E1E9B3E" w:rsidR="004C4F82" w:rsidRPr="00AF3111" w:rsidRDefault="002333FF" w:rsidP="0036178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Anmerkungen zu den Proz</w:t>
            </w:r>
            <w:r w:rsidR="004C4F82" w:rsidRPr="00AF3111">
              <w:rPr>
                <w:rFonts w:ascii="Arial Narrow" w:hAnsi="Arial Narrow" w:cs="Arial"/>
                <w:b/>
                <w:sz w:val="22"/>
                <w:szCs w:val="22"/>
              </w:rPr>
              <w:t>eduren</w:t>
            </w:r>
          </w:p>
        </w:tc>
      </w:tr>
      <w:tr w:rsidR="00AF3111" w:rsidRPr="00AF3111" w14:paraId="131FE40C" w14:textId="77777777" w:rsidTr="001A1587">
        <w:tc>
          <w:tcPr>
            <w:tcW w:w="9212" w:type="dxa"/>
          </w:tcPr>
          <w:p w14:paraId="48201DB1" w14:textId="4064E851" w:rsidR="001A1587" w:rsidRPr="00AF3111" w:rsidRDefault="001A1587" w:rsidP="001A158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97C648B" w14:textId="77777777" w:rsidR="004C4F82" w:rsidRPr="00AF3111" w:rsidRDefault="004C4F82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1C579B85" w14:textId="77777777">
        <w:tc>
          <w:tcPr>
            <w:tcW w:w="9212" w:type="dxa"/>
          </w:tcPr>
          <w:p w14:paraId="442A0D93" w14:textId="77777777" w:rsidR="008E6675" w:rsidRPr="00AF3111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Bei welchen Patienten wird die Methode angewandt (Indikation)?</w:t>
            </w:r>
          </w:p>
        </w:tc>
      </w:tr>
      <w:tr w:rsidR="00AF3111" w:rsidRPr="00AF3111" w14:paraId="158F0243" w14:textId="77777777">
        <w:tc>
          <w:tcPr>
            <w:tcW w:w="9212" w:type="dxa"/>
          </w:tcPr>
          <w:p w14:paraId="3A3A80D0" w14:textId="669D8C81" w:rsidR="00B34BC4" w:rsidRPr="00AF3111" w:rsidRDefault="00B34BC4" w:rsidP="00B34BC4">
            <w:pPr>
              <w:autoSpaceDE w:val="0"/>
              <w:autoSpaceDN w:val="0"/>
              <w:adjustRightInd w:val="0"/>
              <w:rPr>
                <w:rFonts w:ascii="Arial Narrow" w:eastAsia="HelveticaNeueLTStd-Lt" w:hAnsi="Arial Narrow" w:cs="Arial"/>
                <w:sz w:val="22"/>
                <w:szCs w:val="22"/>
              </w:rPr>
            </w:pPr>
            <w:proofErr w:type="spellStart"/>
            <w:r w:rsidRPr="00AF3111">
              <w:rPr>
                <w:rFonts w:ascii="Arial Narrow" w:eastAsia="HelveticaNeueLTStd-Lt" w:hAnsi="Arial Narrow" w:cs="Arial"/>
                <w:sz w:val="22"/>
                <w:szCs w:val="22"/>
              </w:rPr>
              <w:t>Imipenem-</w:t>
            </w:r>
            <w:r w:rsidR="00362A01" w:rsidRPr="00AF3111">
              <w:rPr>
                <w:rFonts w:ascii="Arial Narrow" w:eastAsia="HelveticaNeueLTStd-Lt" w:hAnsi="Arial Narrow" w:cs="Arial"/>
                <w:sz w:val="22"/>
                <w:szCs w:val="22"/>
              </w:rPr>
              <w:t>Cilastatin-</w:t>
            </w:r>
            <w:r w:rsidRPr="00AF3111">
              <w:rPr>
                <w:rFonts w:ascii="Arial Narrow" w:eastAsia="HelveticaNeueLTStd-Lt" w:hAnsi="Arial Narrow" w:cs="Arial"/>
                <w:sz w:val="22"/>
                <w:szCs w:val="22"/>
              </w:rPr>
              <w:t>Relebactam</w:t>
            </w:r>
            <w:proofErr w:type="spellEnd"/>
            <w:r w:rsidRPr="00AF3111">
              <w:rPr>
                <w:rFonts w:ascii="Arial Narrow" w:eastAsia="HelveticaNeueLTStd-Lt" w:hAnsi="Arial Narrow" w:cs="Arial"/>
                <w:sz w:val="22"/>
                <w:szCs w:val="22"/>
              </w:rPr>
              <w:t xml:space="preserve"> ist angezeigt </w:t>
            </w:r>
            <w:proofErr w:type="gramStart"/>
            <w:r w:rsidRPr="00AF3111">
              <w:rPr>
                <w:rFonts w:ascii="Arial Narrow" w:eastAsia="HelveticaNeueLTStd-Lt" w:hAnsi="Arial Narrow" w:cs="Arial"/>
                <w:sz w:val="22"/>
                <w:szCs w:val="22"/>
              </w:rPr>
              <w:t>zu</w:t>
            </w:r>
            <w:r w:rsidR="00765534">
              <w:rPr>
                <w:rFonts w:ascii="Arial Narrow" w:eastAsia="HelveticaNeueLTStd-Lt" w:hAnsi="Arial Narrow" w:cs="Arial"/>
                <w:sz w:val="22"/>
                <w:szCs w:val="22"/>
              </w:rPr>
              <w:t>r:</w:t>
            </w:r>
            <w:r w:rsidRPr="00AF3111">
              <w:rPr>
                <w:rFonts w:ascii="Arial Narrow" w:eastAsia="HelveticaNeueLTStd-Lt" w:hAnsi="Arial Narrow" w:cs="Arial"/>
                <w:sz w:val="22"/>
                <w:szCs w:val="22"/>
              </w:rPr>
              <w:t>:</w:t>
            </w:r>
            <w:proofErr w:type="gramEnd"/>
            <w:r w:rsidRPr="00AF3111">
              <w:rPr>
                <w:rFonts w:ascii="Arial Narrow" w:eastAsia="HelveticaNeueLTStd-Lt" w:hAnsi="Arial Narrow" w:cs="Arial"/>
                <w:sz w:val="22"/>
                <w:szCs w:val="22"/>
              </w:rPr>
              <w:t xml:space="preserve"> </w:t>
            </w:r>
          </w:p>
          <w:p w14:paraId="2E5B598A" w14:textId="77777777" w:rsidR="00A55857" w:rsidRDefault="00A55857" w:rsidP="00B34BC4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 Narrow" w:eastAsia="HelveticaNeueLTStd-Lt" w:hAnsi="Arial Narrow" w:cs="Arial"/>
                <w:sz w:val="22"/>
                <w:szCs w:val="22"/>
              </w:rPr>
            </w:pPr>
            <w:r w:rsidRPr="00A55857">
              <w:rPr>
                <w:rFonts w:ascii="Arial Narrow" w:eastAsia="HelveticaNeueLTStd-Lt" w:hAnsi="Arial Narrow" w:cs="Arial"/>
                <w:sz w:val="22"/>
                <w:szCs w:val="22"/>
              </w:rPr>
              <w:t>Behandlung der im Krankenhaus erworbenen Pneumonie (hospital-</w:t>
            </w:r>
            <w:proofErr w:type="spellStart"/>
            <w:r w:rsidRPr="00A55857">
              <w:rPr>
                <w:rFonts w:ascii="Arial Narrow" w:eastAsia="HelveticaNeueLTStd-Lt" w:hAnsi="Arial Narrow" w:cs="Arial"/>
                <w:sz w:val="22"/>
                <w:szCs w:val="22"/>
              </w:rPr>
              <w:t>acquired</w:t>
            </w:r>
            <w:proofErr w:type="spellEnd"/>
            <w:r w:rsidRPr="00A55857">
              <w:rPr>
                <w:rFonts w:ascii="Arial Narrow" w:eastAsia="HelveticaNeueLTStd-Lt" w:hAnsi="Arial Narrow" w:cs="Arial"/>
                <w:sz w:val="22"/>
                <w:szCs w:val="22"/>
              </w:rPr>
              <w:t xml:space="preserve"> </w:t>
            </w:r>
            <w:proofErr w:type="spellStart"/>
            <w:r w:rsidRPr="00A55857">
              <w:rPr>
                <w:rFonts w:ascii="Arial Narrow" w:eastAsia="HelveticaNeueLTStd-Lt" w:hAnsi="Arial Narrow" w:cs="Arial"/>
                <w:sz w:val="22"/>
                <w:szCs w:val="22"/>
              </w:rPr>
              <w:t>pneumonia</w:t>
            </w:r>
            <w:proofErr w:type="spellEnd"/>
            <w:r w:rsidRPr="00A55857">
              <w:rPr>
                <w:rFonts w:ascii="Arial Narrow" w:eastAsia="HelveticaNeueLTStd-Lt" w:hAnsi="Arial Narrow" w:cs="Arial"/>
                <w:sz w:val="22"/>
                <w:szCs w:val="22"/>
              </w:rPr>
              <w:t>, HAP), einschließlich beatmungsassoziierter Pneumonie (</w:t>
            </w:r>
            <w:proofErr w:type="spellStart"/>
            <w:r w:rsidRPr="00A55857">
              <w:rPr>
                <w:rFonts w:ascii="Arial Narrow" w:eastAsia="HelveticaNeueLTStd-Lt" w:hAnsi="Arial Narrow" w:cs="Arial"/>
                <w:sz w:val="22"/>
                <w:szCs w:val="22"/>
              </w:rPr>
              <w:t>ventilator-associated</w:t>
            </w:r>
            <w:proofErr w:type="spellEnd"/>
            <w:r w:rsidRPr="00A55857">
              <w:rPr>
                <w:rFonts w:ascii="Arial Narrow" w:eastAsia="HelveticaNeueLTStd-Lt" w:hAnsi="Arial Narrow" w:cs="Arial"/>
                <w:sz w:val="22"/>
                <w:szCs w:val="22"/>
              </w:rPr>
              <w:t xml:space="preserve"> </w:t>
            </w:r>
            <w:proofErr w:type="spellStart"/>
            <w:r w:rsidRPr="00A55857">
              <w:rPr>
                <w:rFonts w:ascii="Arial Narrow" w:eastAsia="HelveticaNeueLTStd-Lt" w:hAnsi="Arial Narrow" w:cs="Arial"/>
                <w:sz w:val="22"/>
                <w:szCs w:val="22"/>
              </w:rPr>
              <w:t>pneumonia</w:t>
            </w:r>
            <w:proofErr w:type="spellEnd"/>
            <w:r w:rsidRPr="00A55857">
              <w:rPr>
                <w:rFonts w:ascii="Arial Narrow" w:eastAsia="HelveticaNeueLTStd-Lt" w:hAnsi="Arial Narrow" w:cs="Arial"/>
                <w:sz w:val="22"/>
                <w:szCs w:val="22"/>
              </w:rPr>
              <w:t xml:space="preserve">, VAP) bei Erwachsenen </w:t>
            </w:r>
          </w:p>
          <w:p w14:paraId="2C517706" w14:textId="77777777" w:rsidR="00176DC1" w:rsidRDefault="00A55857" w:rsidP="00B34BC4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 Narrow" w:eastAsia="HelveticaNeueLTStd-Lt" w:hAnsi="Arial Narrow" w:cs="Arial"/>
                <w:sz w:val="22"/>
                <w:szCs w:val="22"/>
              </w:rPr>
            </w:pPr>
            <w:r w:rsidRPr="00A55857">
              <w:rPr>
                <w:rFonts w:ascii="Arial Narrow" w:eastAsia="HelveticaNeueLTStd-Lt" w:hAnsi="Arial Narrow" w:cs="Arial"/>
                <w:sz w:val="22"/>
                <w:szCs w:val="22"/>
              </w:rPr>
              <w:t>Behandlung der Bakteriämie, für die ein Zusammenhang mit HAP oder VAP bei Erwachsenen besteht oder vermutet wird.</w:t>
            </w:r>
          </w:p>
          <w:p w14:paraId="606B75B1" w14:textId="2C21E9A2" w:rsidR="008E6675" w:rsidRPr="00AF3111" w:rsidRDefault="00A55857" w:rsidP="00362A01">
            <w:pPr>
              <w:pStyle w:val="Listenabsatz"/>
              <w:numPr>
                <w:ilvl w:val="0"/>
                <w:numId w:val="11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A55857">
              <w:rPr>
                <w:rFonts w:ascii="Arial Narrow" w:eastAsia="HelveticaNeueLTStd-Lt" w:hAnsi="Arial Narrow" w:cs="Arial"/>
                <w:sz w:val="22"/>
                <w:szCs w:val="22"/>
              </w:rPr>
              <w:t>Behandlung von Infektionen mit aeroben Gram-negativen Erregern bei Erwachsenen mit begrenzten Therapieoptionen</w:t>
            </w:r>
            <w:r w:rsidR="00176DC1">
              <w:rPr>
                <w:rFonts w:ascii="Arial Narrow" w:eastAsia="HelveticaNeueLTStd-Lt" w:hAnsi="Arial Narrow" w:cs="Arial"/>
                <w:sz w:val="22"/>
                <w:szCs w:val="22"/>
              </w:rPr>
              <w:t xml:space="preserve">. </w:t>
            </w:r>
          </w:p>
        </w:tc>
      </w:tr>
    </w:tbl>
    <w:p w14:paraId="2A567A97" w14:textId="77777777" w:rsidR="008E6675" w:rsidRPr="00AF3111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544A3AED" w14:textId="77777777">
        <w:trPr>
          <w:trHeight w:val="234"/>
        </w:trPr>
        <w:tc>
          <w:tcPr>
            <w:tcW w:w="9212" w:type="dxa"/>
          </w:tcPr>
          <w:p w14:paraId="52A9B9D0" w14:textId="77777777" w:rsidR="008E6675" w:rsidRPr="00AF3111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Welche bestehende Methode wird durch die neue Methode abgelöst oder ergänzt?</w:t>
            </w:r>
          </w:p>
        </w:tc>
      </w:tr>
      <w:tr w:rsidR="00AF3111" w:rsidRPr="00AF3111" w14:paraId="6B0057FA" w14:textId="77777777">
        <w:tc>
          <w:tcPr>
            <w:tcW w:w="9212" w:type="dxa"/>
          </w:tcPr>
          <w:p w14:paraId="5999643D" w14:textId="77777777" w:rsidR="00DF4EBC" w:rsidRPr="00AF3111" w:rsidRDefault="00DF4EBC" w:rsidP="00DF4EB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Andere Breitspektrum-Antibiotika wie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Meropenem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, oder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Piperacillin-Tazobactam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>, wenn diese aufgrund von Resistenzen nicht mehr wirksam sind.</w:t>
            </w:r>
          </w:p>
          <w:p w14:paraId="3EC3722F" w14:textId="6CA76E05" w:rsidR="008E6675" w:rsidRPr="00AF3111" w:rsidRDefault="00DF4EBC" w:rsidP="00DF4EBC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Imipenem-Cilastatin-Relebactam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wurde vom GBA am 20.01.2022 als Reserveantibiotikum eingestuft.</w:t>
            </w:r>
          </w:p>
        </w:tc>
      </w:tr>
    </w:tbl>
    <w:p w14:paraId="073C0909" w14:textId="77777777" w:rsidR="008E6675" w:rsidRPr="00AF3111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3CC85E94" w14:textId="77777777">
        <w:tc>
          <w:tcPr>
            <w:tcW w:w="9212" w:type="dxa"/>
          </w:tcPr>
          <w:p w14:paraId="25335173" w14:textId="77777777" w:rsidR="008E6675" w:rsidRPr="00AF3111" w:rsidRDefault="008E6675" w:rsidP="00E92C5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Ist die Methode vollständig oder in Teilen neu und warum handelt es sich um eine neue Untersuchungs- und Behandlungsmethode?</w:t>
            </w:r>
          </w:p>
        </w:tc>
      </w:tr>
      <w:tr w:rsidR="00AF3111" w:rsidRPr="00AF3111" w14:paraId="402C1327" w14:textId="77777777">
        <w:tc>
          <w:tcPr>
            <w:tcW w:w="9212" w:type="dxa"/>
          </w:tcPr>
          <w:p w14:paraId="57E4C6C2" w14:textId="00DDCAEB" w:rsidR="00606A6F" w:rsidRPr="00AF3111" w:rsidRDefault="00606A6F" w:rsidP="00606A6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In den Informationen nach §</w:t>
            </w:r>
            <w:r w:rsidR="00BB5658" w:rsidRPr="00AF311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>6 Abs. 2 KHEntgG für 202</w:t>
            </w:r>
            <w:r w:rsidR="00343B91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hat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Imipenem-Cilastatin-Relebactam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den Status </w:t>
            </w:r>
            <w:r w:rsidR="00343B91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343B91" w:rsidRPr="00AF311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>erhalten.</w:t>
            </w:r>
          </w:p>
          <w:p w14:paraId="6B1FDB47" w14:textId="0A693965" w:rsidR="008C2FA5" w:rsidRPr="00AF3111" w:rsidRDefault="00606A6F" w:rsidP="00E27301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Die Einstufung in den Status 2 ist nicht nachvollziehbar. </w:t>
            </w:r>
            <w:r w:rsidR="006E07DC">
              <w:rPr>
                <w:rFonts w:ascii="Arial Narrow" w:hAnsi="Arial Narrow" w:cs="Arial"/>
                <w:sz w:val="22"/>
                <w:szCs w:val="22"/>
              </w:rPr>
              <w:t>500</w:t>
            </w:r>
            <w:r w:rsidR="006E07DC" w:rsidRPr="00AF311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Krankenhäuser hatten für </w:t>
            </w:r>
            <w:r w:rsidR="00BB5658" w:rsidRPr="00AF3111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6E07DC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einen Antrag gestellt. </w:t>
            </w:r>
          </w:p>
        </w:tc>
      </w:tr>
    </w:tbl>
    <w:p w14:paraId="75E7896B" w14:textId="77777777" w:rsidR="008E6675" w:rsidRPr="00AF3111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7DEA2055" w14:textId="77777777">
        <w:tc>
          <w:tcPr>
            <w:tcW w:w="9212" w:type="dxa"/>
          </w:tcPr>
          <w:p w14:paraId="4E8FCE4C" w14:textId="77777777" w:rsidR="008E6675" w:rsidRPr="00AF3111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Welche Auswirkungen hat die Methode auf die Verweildauer im Krankenhaus?</w:t>
            </w:r>
          </w:p>
        </w:tc>
      </w:tr>
      <w:tr w:rsidR="00AF3111" w:rsidRPr="00AF3111" w14:paraId="5C15DE82" w14:textId="77777777">
        <w:trPr>
          <w:trHeight w:val="264"/>
        </w:trPr>
        <w:tc>
          <w:tcPr>
            <w:tcW w:w="9212" w:type="dxa"/>
          </w:tcPr>
          <w:p w14:paraId="19E75E35" w14:textId="213955B9" w:rsidR="00A530BE" w:rsidRPr="00AF3111" w:rsidRDefault="008E6675" w:rsidP="005638E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Zur Veränderung der Verweildauer im Krankenhaus können derzeit aufgrund fehlender Erfahrungen keine Aussagen gemacht werden.</w:t>
            </w:r>
          </w:p>
        </w:tc>
      </w:tr>
    </w:tbl>
    <w:p w14:paraId="4E061776" w14:textId="77777777" w:rsidR="008E6675" w:rsidRPr="00AF3111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6BCFFEC8" w14:textId="77777777">
        <w:tc>
          <w:tcPr>
            <w:tcW w:w="9212" w:type="dxa"/>
          </w:tcPr>
          <w:p w14:paraId="5ABEFBD5" w14:textId="77777777" w:rsidR="008E6675" w:rsidRPr="00AF3111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Wann wurde diese Methode in Deutschland eingeführt?</w:t>
            </w:r>
          </w:p>
        </w:tc>
      </w:tr>
      <w:tr w:rsidR="00AF3111" w:rsidRPr="00AF3111" w14:paraId="0DF8F781" w14:textId="77777777">
        <w:tc>
          <w:tcPr>
            <w:tcW w:w="9212" w:type="dxa"/>
          </w:tcPr>
          <w:p w14:paraId="256E27C8" w14:textId="5C1447E3" w:rsidR="00D14350" w:rsidRPr="00AF3111" w:rsidRDefault="005E4111" w:rsidP="00C112A6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15.06.2021</w:t>
            </w:r>
          </w:p>
        </w:tc>
      </w:tr>
    </w:tbl>
    <w:p w14:paraId="233BCD28" w14:textId="77777777" w:rsidR="008E6675" w:rsidRPr="00AF3111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7DE956DB" w14:textId="77777777">
        <w:tc>
          <w:tcPr>
            <w:tcW w:w="9212" w:type="dxa"/>
          </w:tcPr>
          <w:p w14:paraId="483A4156" w14:textId="77777777" w:rsidR="008E6675" w:rsidRPr="00AF3111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Bei Medikamenten: Wann wurde dieses Medikament zugelassen?</w:t>
            </w:r>
          </w:p>
        </w:tc>
      </w:tr>
      <w:tr w:rsidR="00AF3111" w:rsidRPr="00AF3111" w14:paraId="1264FF24" w14:textId="77777777">
        <w:tc>
          <w:tcPr>
            <w:tcW w:w="9212" w:type="dxa"/>
          </w:tcPr>
          <w:p w14:paraId="7BB60EDC" w14:textId="5A9D6D2A" w:rsidR="00044597" w:rsidRPr="00AF3111" w:rsidRDefault="0023579F" w:rsidP="00C112A6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13.02.2020</w:t>
            </w:r>
          </w:p>
        </w:tc>
      </w:tr>
    </w:tbl>
    <w:p w14:paraId="479CCD3D" w14:textId="77777777" w:rsidR="008E6675" w:rsidRPr="00AF3111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24374391" w14:textId="77777777">
        <w:tc>
          <w:tcPr>
            <w:tcW w:w="9212" w:type="dxa"/>
          </w:tcPr>
          <w:p w14:paraId="657A69BC" w14:textId="77777777" w:rsidR="008E6675" w:rsidRPr="00AF3111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 xml:space="preserve">Wann wurde </w:t>
            </w:r>
            <w:r w:rsidR="002333FF" w:rsidRPr="00AF3111">
              <w:rPr>
                <w:rFonts w:ascii="Arial Narrow" w:hAnsi="Arial Narrow" w:cs="Arial"/>
                <w:b/>
                <w:sz w:val="22"/>
                <w:szCs w:val="22"/>
              </w:rPr>
              <w:t xml:space="preserve">bzw. wird </w:t>
            </w: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die Methode in Ihrem Krankenhaus eingeführt?</w:t>
            </w:r>
          </w:p>
        </w:tc>
      </w:tr>
      <w:tr w:rsidR="00AF3111" w:rsidRPr="00AF3111" w14:paraId="4BC61AB6" w14:textId="77777777">
        <w:tc>
          <w:tcPr>
            <w:tcW w:w="9212" w:type="dxa"/>
          </w:tcPr>
          <w:p w14:paraId="7727C539" w14:textId="77777777" w:rsidR="008E6675" w:rsidRPr="00AF3111" w:rsidRDefault="00983554" w:rsidP="005638E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  <w:highlight w:val="yellow"/>
              </w:rPr>
              <w:t>[bitte ergänzen]</w:t>
            </w:r>
          </w:p>
        </w:tc>
      </w:tr>
    </w:tbl>
    <w:p w14:paraId="09FB8D77" w14:textId="77777777" w:rsidR="008E6675" w:rsidRPr="00AF3111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3D6635CC" w14:textId="77777777">
        <w:tc>
          <w:tcPr>
            <w:tcW w:w="9212" w:type="dxa"/>
          </w:tcPr>
          <w:p w14:paraId="126EBD70" w14:textId="77777777" w:rsidR="008E6675" w:rsidRPr="00AF3111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In wie vielen Kliniken wird diese Methode derzeit eingesetzt (Schätzung)?</w:t>
            </w:r>
          </w:p>
        </w:tc>
      </w:tr>
      <w:tr w:rsidR="00AF3111" w:rsidRPr="00AF3111" w14:paraId="4C00526F" w14:textId="77777777">
        <w:tc>
          <w:tcPr>
            <w:tcW w:w="9212" w:type="dxa"/>
          </w:tcPr>
          <w:p w14:paraId="21DD9094" w14:textId="118890A9" w:rsidR="00C112A6" w:rsidRPr="00AF3111" w:rsidRDefault="002E61A8" w:rsidP="00C112A6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076315">
              <w:rPr>
                <w:rFonts w:ascii="Arial Narrow" w:hAnsi="Arial Narrow" w:cs="Arial"/>
                <w:sz w:val="22"/>
                <w:szCs w:val="22"/>
              </w:rPr>
              <w:t>Imipenem-Cilastatin-Relebactam</w:t>
            </w:r>
            <w:proofErr w:type="spellEnd"/>
            <w:r w:rsidRPr="00076315">
              <w:rPr>
                <w:rFonts w:ascii="Arial Narrow" w:hAnsi="Arial Narrow" w:cs="Arial"/>
                <w:sz w:val="22"/>
                <w:szCs w:val="22"/>
              </w:rPr>
              <w:t xml:space="preserve"> wird in </w:t>
            </w:r>
            <w:r w:rsidR="00076315" w:rsidRPr="00076315">
              <w:rPr>
                <w:rFonts w:ascii="Arial Narrow" w:hAnsi="Arial Narrow" w:cs="Arial"/>
                <w:sz w:val="22"/>
                <w:szCs w:val="22"/>
              </w:rPr>
              <w:t>ca. 500</w:t>
            </w:r>
            <w:r w:rsidR="00362A01" w:rsidRPr="0007631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076315">
              <w:rPr>
                <w:rFonts w:ascii="Arial Narrow" w:hAnsi="Arial Narrow" w:cs="Arial"/>
                <w:sz w:val="22"/>
                <w:szCs w:val="22"/>
              </w:rPr>
              <w:t>Kliniken in Deutschland eingesetzt (Schätzung aufgrund der NUB-Anfragen des Vorjahres).</w:t>
            </w:r>
          </w:p>
        </w:tc>
      </w:tr>
    </w:tbl>
    <w:p w14:paraId="43674FE7" w14:textId="77777777" w:rsidR="008E6675" w:rsidRPr="00AF3111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2BCF6BA3" w14:textId="77777777">
        <w:tc>
          <w:tcPr>
            <w:tcW w:w="9212" w:type="dxa"/>
          </w:tcPr>
          <w:p w14:paraId="6D713A1D" w14:textId="4C852D7C" w:rsidR="008E6675" w:rsidRPr="00AF3111" w:rsidRDefault="008E6675" w:rsidP="00285AE4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Wie viele Patienten wur</w:t>
            </w:r>
            <w:r w:rsidR="000953D2" w:rsidRPr="00AF3111">
              <w:rPr>
                <w:rFonts w:ascii="Arial Narrow" w:hAnsi="Arial Narrow" w:cs="Arial"/>
                <w:b/>
                <w:sz w:val="22"/>
                <w:szCs w:val="22"/>
              </w:rPr>
              <w:t xml:space="preserve">den in Ihrem Krankenhaus </w:t>
            </w:r>
            <w:proofErr w:type="gramStart"/>
            <w:r w:rsidR="000953D2" w:rsidRPr="00AF3111">
              <w:rPr>
                <w:rFonts w:ascii="Arial Narrow" w:hAnsi="Arial Narrow" w:cs="Arial"/>
                <w:b/>
                <w:sz w:val="22"/>
                <w:szCs w:val="22"/>
              </w:rPr>
              <w:t>in 202</w:t>
            </w:r>
            <w:r w:rsidR="006E07DC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proofErr w:type="gramEnd"/>
            <w:r w:rsidR="000953D2" w:rsidRPr="00AF3111">
              <w:rPr>
                <w:rFonts w:ascii="Arial Narrow" w:hAnsi="Arial Narrow" w:cs="Arial"/>
                <w:b/>
                <w:sz w:val="22"/>
                <w:szCs w:val="22"/>
              </w:rPr>
              <w:t xml:space="preserve"> oder </w:t>
            </w:r>
            <w:proofErr w:type="gramStart"/>
            <w:r w:rsidR="000953D2" w:rsidRPr="00AF3111">
              <w:rPr>
                <w:rFonts w:ascii="Arial Narrow" w:hAnsi="Arial Narrow" w:cs="Arial"/>
                <w:b/>
                <w:sz w:val="22"/>
                <w:szCs w:val="22"/>
              </w:rPr>
              <w:t>in 202</w:t>
            </w:r>
            <w:r w:rsidR="006E07DC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proofErr w:type="gramEnd"/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 xml:space="preserve"> mit dieser Methode behandelt?</w:t>
            </w:r>
          </w:p>
        </w:tc>
      </w:tr>
      <w:tr w:rsidR="00AF3111" w:rsidRPr="00AF3111" w14:paraId="5CCFBAD3" w14:textId="77777777">
        <w:tc>
          <w:tcPr>
            <w:tcW w:w="9212" w:type="dxa"/>
          </w:tcPr>
          <w:p w14:paraId="4F6124DB" w14:textId="2C2ED11B" w:rsidR="008E6675" w:rsidRPr="00AF3111" w:rsidRDefault="008E6675" w:rsidP="00285AE4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In </w:t>
            </w:r>
            <w:r w:rsidR="000953D2" w:rsidRPr="00AF3111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6E07DC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</w:tr>
      <w:tr w:rsidR="00AF3111" w:rsidRPr="00AF3111" w14:paraId="1992E6A2" w14:textId="77777777">
        <w:tc>
          <w:tcPr>
            <w:tcW w:w="9212" w:type="dxa"/>
          </w:tcPr>
          <w:p w14:paraId="283F259E" w14:textId="77777777" w:rsidR="00983554" w:rsidRPr="00AF3111" w:rsidRDefault="00983554" w:rsidP="0036178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  <w:highlight w:val="yellow"/>
              </w:rPr>
              <w:t>[bitte ergänzen]</w:t>
            </w:r>
          </w:p>
        </w:tc>
      </w:tr>
      <w:tr w:rsidR="00AF3111" w:rsidRPr="00AF3111" w14:paraId="175E4977" w14:textId="77777777">
        <w:tc>
          <w:tcPr>
            <w:tcW w:w="9212" w:type="dxa"/>
          </w:tcPr>
          <w:p w14:paraId="33A68C3A" w14:textId="1B18B13B" w:rsidR="008E6675" w:rsidRPr="00AF3111" w:rsidRDefault="008E6675" w:rsidP="00285AE4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In </w:t>
            </w:r>
            <w:r w:rsidR="000953D2" w:rsidRPr="00AF3111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6E07DC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</w:tr>
      <w:tr w:rsidR="00AF3111" w:rsidRPr="00AF3111" w14:paraId="6BABCFC8" w14:textId="77777777">
        <w:tc>
          <w:tcPr>
            <w:tcW w:w="9212" w:type="dxa"/>
          </w:tcPr>
          <w:p w14:paraId="17351D25" w14:textId="77777777" w:rsidR="00983554" w:rsidRPr="00AF3111" w:rsidRDefault="00983554" w:rsidP="0036178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  <w:highlight w:val="yellow"/>
              </w:rPr>
              <w:t>[bitte ergänzen]</w:t>
            </w:r>
          </w:p>
        </w:tc>
      </w:tr>
    </w:tbl>
    <w:p w14:paraId="394F2677" w14:textId="77777777" w:rsidR="008E6675" w:rsidRPr="00AF3111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49B8805A" w14:textId="77777777">
        <w:tc>
          <w:tcPr>
            <w:tcW w:w="9212" w:type="dxa"/>
          </w:tcPr>
          <w:p w14:paraId="2C8371FB" w14:textId="1D53F5A9" w:rsidR="008E6675" w:rsidRPr="00AF3111" w:rsidRDefault="008E6675" w:rsidP="00285AE4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Wieviele</w:t>
            </w:r>
            <w:proofErr w:type="spellEnd"/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 xml:space="preserve"> P</w:t>
            </w:r>
            <w:r w:rsidR="00A530BE" w:rsidRPr="00AF3111">
              <w:rPr>
                <w:rFonts w:ascii="Arial Narrow" w:hAnsi="Arial Narrow" w:cs="Arial"/>
                <w:b/>
                <w:sz w:val="22"/>
                <w:szCs w:val="22"/>
              </w:rPr>
              <w:t>atienten planen Sie im Jahr 20</w:t>
            </w:r>
            <w:r w:rsidR="000953D2" w:rsidRPr="00AF3111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="006E07DC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 xml:space="preserve"> mit dieser Methode zu behandeln?</w:t>
            </w:r>
          </w:p>
        </w:tc>
      </w:tr>
      <w:tr w:rsidR="00AF3111" w:rsidRPr="00AF3111" w14:paraId="742C5EF0" w14:textId="77777777">
        <w:tc>
          <w:tcPr>
            <w:tcW w:w="9212" w:type="dxa"/>
          </w:tcPr>
          <w:p w14:paraId="4620D230" w14:textId="77777777" w:rsidR="00983554" w:rsidRPr="00AF3111" w:rsidRDefault="00983554" w:rsidP="0036178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  <w:highlight w:val="yellow"/>
              </w:rPr>
              <w:t>[bitte ergänzen]</w:t>
            </w:r>
          </w:p>
        </w:tc>
      </w:tr>
    </w:tbl>
    <w:p w14:paraId="654325C8" w14:textId="77777777" w:rsidR="008E6675" w:rsidRPr="00AF3111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04A6A805" w14:textId="77777777">
        <w:tc>
          <w:tcPr>
            <w:tcW w:w="9212" w:type="dxa"/>
          </w:tcPr>
          <w:p w14:paraId="5C0D4897" w14:textId="77777777" w:rsidR="008E6675" w:rsidRPr="00AF3111" w:rsidRDefault="008E6675" w:rsidP="005638E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Entstehen durch die neue Methode Mehrkosten gegenüber dem bisher üblichen Verfahren? Wenn ja, wodurch? In welcher Höhe (möglichst aufgetrennt nach Personal- und Sachkosten)?</w:t>
            </w:r>
          </w:p>
        </w:tc>
      </w:tr>
      <w:tr w:rsidR="00AF3111" w:rsidRPr="00AF3111" w14:paraId="169DFC57" w14:textId="77777777">
        <w:tc>
          <w:tcPr>
            <w:tcW w:w="9212" w:type="dxa"/>
          </w:tcPr>
          <w:p w14:paraId="0196D1BF" w14:textId="77777777" w:rsidR="00F91EA8" w:rsidRPr="00AF3111" w:rsidRDefault="00F91EA8" w:rsidP="00F91E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  <w:u w:val="single"/>
              </w:rPr>
              <w:t>Sachkosten:</w:t>
            </w:r>
          </w:p>
          <w:p w14:paraId="11F93287" w14:textId="6A194E68" w:rsidR="00F91EA8" w:rsidRPr="00AF3111" w:rsidRDefault="00F91EA8" w:rsidP="00F91EA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Der Krankenhaus</w:t>
            </w:r>
            <w:r w:rsidR="00375F76" w:rsidRPr="00AF3111">
              <w:rPr>
                <w:rFonts w:ascii="Arial Narrow" w:hAnsi="Arial Narrow" w:cs="Arial"/>
                <w:sz w:val="22"/>
                <w:szCs w:val="22"/>
              </w:rPr>
              <w:t>-EK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für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Imipenem-Cilastatin-Relebactam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beträgt 7.065,63 € (</w:t>
            </w:r>
            <w:r w:rsidR="00BB5658" w:rsidRPr="00AF3111">
              <w:rPr>
                <w:rFonts w:ascii="Arial Narrow" w:hAnsi="Arial Narrow" w:cs="Arial"/>
                <w:sz w:val="22"/>
                <w:szCs w:val="22"/>
              </w:rPr>
              <w:t>Lauer-Taxe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, inkl.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M</w:t>
            </w:r>
            <w:r w:rsidR="00362A01" w:rsidRPr="00AF3111">
              <w:rPr>
                <w:rFonts w:ascii="Arial Narrow" w:hAnsi="Arial Narrow" w:cs="Arial"/>
                <w:sz w:val="22"/>
                <w:szCs w:val="22"/>
              </w:rPr>
              <w:t>w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>St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, Stand </w:t>
            </w:r>
            <w:r w:rsidR="009C5162">
              <w:rPr>
                <w:rFonts w:ascii="Arial Narrow" w:hAnsi="Arial Narrow" w:cs="Arial"/>
                <w:sz w:val="22"/>
                <w:szCs w:val="22"/>
              </w:rPr>
              <w:t>12</w:t>
            </w:r>
            <w:r w:rsidR="00BB5658" w:rsidRPr="00AF3111">
              <w:rPr>
                <w:rFonts w:ascii="Arial Narrow" w:hAnsi="Arial Narrow" w:cs="Arial"/>
                <w:sz w:val="22"/>
                <w:szCs w:val="22"/>
              </w:rPr>
              <w:t>.09.202</w:t>
            </w:r>
            <w:r w:rsidR="009C5162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>) für eine Packung mit 25 Durchstechflaschen, also 282,63 € pro Durchstechflasche.</w:t>
            </w:r>
          </w:p>
          <w:p w14:paraId="49B3F978" w14:textId="77777777" w:rsidR="00375F76" w:rsidRPr="00AF3111" w:rsidRDefault="00375F76" w:rsidP="00F91EA8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01429FB" w14:textId="094F7E7B" w:rsidR="00F91EA8" w:rsidRPr="00AF3111" w:rsidRDefault="00F91EA8" w:rsidP="00F91EA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Jede Durchstechflasche enthält 500 mg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Imipenem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, 500 mg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Cilastatin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und 250 mg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Relebactam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409B455B" w14:textId="77777777" w:rsidR="00F91EA8" w:rsidRPr="00AF3111" w:rsidRDefault="00F91EA8" w:rsidP="00F91EA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Bei einer angenommenen Dosierung von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Imipenem-Cilastatin-Relebactam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500 mg/500 mg/250 mg alle 6 Stunden für 7-14 Tage ergeben sich 1.130,52 € Tagestherapiekosten bzw. </w:t>
            </w:r>
          </w:p>
          <w:p w14:paraId="1FC09AFA" w14:textId="77777777" w:rsidR="00F91EA8" w:rsidRPr="00AF3111" w:rsidRDefault="00F91EA8" w:rsidP="00F91E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7.913,64 € bei 7 Tagen und 15.827 € bei 14 Tagen.</w:t>
            </w:r>
          </w:p>
          <w:p w14:paraId="3B061B9F" w14:textId="77777777" w:rsidR="00F91EA8" w:rsidRPr="00AF3111" w:rsidRDefault="00F91EA8" w:rsidP="00F91E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45E8271" w14:textId="77777777" w:rsidR="00F91EA8" w:rsidRPr="00AF3111" w:rsidRDefault="00F91EA8" w:rsidP="00F91E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  <w:u w:val="single"/>
              </w:rPr>
              <w:t>Personalkosten:</w:t>
            </w:r>
          </w:p>
          <w:p w14:paraId="68BF2787" w14:textId="77777777" w:rsidR="00F91EA8" w:rsidRPr="00AF3111" w:rsidRDefault="00F91EA8" w:rsidP="00F91EA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Für die Zubereitung: ca. 10 Minuten (</w:t>
            </w:r>
            <w:proofErr w:type="gramStart"/>
            <w:r w:rsidRPr="00AF3111">
              <w:rPr>
                <w:rFonts w:ascii="Arial Narrow" w:hAnsi="Arial Narrow" w:cs="Arial"/>
                <w:sz w:val="22"/>
                <w:szCs w:val="22"/>
              </w:rPr>
              <w:t>MTD Apotheke</w:t>
            </w:r>
            <w:proofErr w:type="gramEnd"/>
            <w:r w:rsidRPr="00AF3111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14:paraId="085C5743" w14:textId="77777777" w:rsidR="00F91EA8" w:rsidRPr="00AF3111" w:rsidRDefault="00F91EA8" w:rsidP="00F91EA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Für die Applikation: ca. 5 Minuten (ÄD) und ca. 5 Minuten (PD)</w:t>
            </w:r>
          </w:p>
          <w:p w14:paraId="7D03D20B" w14:textId="071503AC" w:rsidR="00156FE0" w:rsidRPr="00AF3111" w:rsidRDefault="00F91EA8" w:rsidP="007A314E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Für die Überwachung: ca. 30 Minuten (PD), ca. 10 Minuten (ÄD)</w:t>
            </w:r>
          </w:p>
        </w:tc>
      </w:tr>
    </w:tbl>
    <w:p w14:paraId="45E65153" w14:textId="77777777" w:rsidR="008E6675" w:rsidRPr="00AF3111" w:rsidRDefault="008E6675" w:rsidP="005638EB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0D84EF57" w14:textId="77777777">
        <w:tc>
          <w:tcPr>
            <w:tcW w:w="9212" w:type="dxa"/>
          </w:tcPr>
          <w:p w14:paraId="2FCAAE14" w14:textId="77777777" w:rsidR="008E6675" w:rsidRPr="00AF3111" w:rsidRDefault="008E6675" w:rsidP="005638E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Welche DRG(s) ist/sind am häufigsten von dieser Methode betroffen?</w:t>
            </w:r>
          </w:p>
        </w:tc>
      </w:tr>
      <w:tr w:rsidR="00AF3111" w:rsidRPr="00AF3111" w14:paraId="56F9F66E" w14:textId="77777777">
        <w:tc>
          <w:tcPr>
            <w:tcW w:w="9212" w:type="dxa"/>
          </w:tcPr>
          <w:p w14:paraId="2BF9AD28" w14:textId="77777777" w:rsidR="00CB2B8F" w:rsidRPr="00AF3111" w:rsidRDefault="00CB2B8F" w:rsidP="00CB2B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L63E </w:t>
            </w:r>
          </w:p>
          <w:p w14:paraId="2474AF93" w14:textId="77777777" w:rsidR="00CB2B8F" w:rsidRPr="00AF3111" w:rsidRDefault="00CB2B8F" w:rsidP="00CB2B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F62C </w:t>
            </w:r>
          </w:p>
          <w:p w14:paraId="2B805E4A" w14:textId="77777777" w:rsidR="00CB2B8F" w:rsidRPr="00AF3111" w:rsidRDefault="00CB2B8F" w:rsidP="00CB2B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E79C </w:t>
            </w:r>
          </w:p>
          <w:p w14:paraId="76AE0616" w14:textId="77777777" w:rsidR="00CB2B8F" w:rsidRPr="00AF3111" w:rsidRDefault="00CB2B8F" w:rsidP="00CB2B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L64B </w:t>
            </w:r>
          </w:p>
          <w:p w14:paraId="0D2C6598" w14:textId="77777777" w:rsidR="00CB2B8F" w:rsidRPr="00AF3111" w:rsidRDefault="00CB2B8F" w:rsidP="00CB2B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T60E </w:t>
            </w:r>
          </w:p>
          <w:p w14:paraId="7B422566" w14:textId="77777777" w:rsidR="00CB2B8F" w:rsidRPr="00AF3111" w:rsidRDefault="00CB2B8F" w:rsidP="00CB2B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B43Z </w:t>
            </w:r>
          </w:p>
          <w:p w14:paraId="33A1A833" w14:textId="77777777" w:rsidR="00CB2B8F" w:rsidRPr="00AF3111" w:rsidRDefault="00CB2B8F" w:rsidP="00CB2B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E79A </w:t>
            </w:r>
          </w:p>
          <w:p w14:paraId="5BBE86F7" w14:textId="77777777" w:rsidR="00CB2B8F" w:rsidRPr="00AF3111" w:rsidRDefault="00CB2B8F" w:rsidP="00CB2B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G67B </w:t>
            </w:r>
          </w:p>
          <w:p w14:paraId="374C94C9" w14:textId="77777777" w:rsidR="00CB2B8F" w:rsidRPr="00AF3111" w:rsidRDefault="00CB2B8F" w:rsidP="00CB2B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L63B </w:t>
            </w:r>
          </w:p>
          <w:p w14:paraId="3FDE8751" w14:textId="0FF4C1CF" w:rsidR="008E6675" w:rsidRPr="00AF3111" w:rsidRDefault="00CB2B8F" w:rsidP="00CB2B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T64C</w:t>
            </w:r>
          </w:p>
        </w:tc>
      </w:tr>
    </w:tbl>
    <w:p w14:paraId="4E6FC927" w14:textId="77777777" w:rsidR="008E6675" w:rsidRPr="00AF3111" w:rsidRDefault="008E6675" w:rsidP="005638EB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F3111" w:rsidRPr="00AF3111" w14:paraId="4E9DF4AB" w14:textId="77777777">
        <w:tc>
          <w:tcPr>
            <w:tcW w:w="9212" w:type="dxa"/>
          </w:tcPr>
          <w:p w14:paraId="3184CC4A" w14:textId="77777777" w:rsidR="008E6675" w:rsidRPr="00AF3111" w:rsidRDefault="008E6675" w:rsidP="005638E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b/>
                <w:sz w:val="22"/>
                <w:szCs w:val="22"/>
              </w:rPr>
              <w:t>Warum ist diese Methode aus Ihrer Sicht derzeit im G-DRG-System nicht sachgerecht abgebildet?</w:t>
            </w:r>
          </w:p>
        </w:tc>
      </w:tr>
      <w:tr w:rsidR="00AF3111" w:rsidRPr="00AF3111" w14:paraId="3100E4A7" w14:textId="77777777">
        <w:tc>
          <w:tcPr>
            <w:tcW w:w="9212" w:type="dxa"/>
          </w:tcPr>
          <w:p w14:paraId="546EDAE2" w14:textId="77777777" w:rsidR="00EE41E6" w:rsidRPr="00AF3111" w:rsidRDefault="00EE41E6" w:rsidP="00EE41E6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Imipenem-Cilastatin-Relebactam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wurde im Jahr 2020 zugelassen und ist seit dem Jahr 2021 in Deutschland auf dem Markt. </w:t>
            </w:r>
          </w:p>
          <w:p w14:paraId="3BCFEDEA" w14:textId="5EB45069" w:rsidR="00EE41E6" w:rsidRPr="00AF3111" w:rsidRDefault="00EE41E6" w:rsidP="00EE41E6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Für das Datenjahr 202</w:t>
            </w:r>
            <w:r w:rsidR="00541AF6"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sollten aus den Kalkulationshäusern Kostendaten für den Einsatz von </w:t>
            </w:r>
            <w:proofErr w:type="spellStart"/>
            <w:r w:rsidRPr="00AF3111">
              <w:rPr>
                <w:rFonts w:ascii="Arial Narrow" w:hAnsi="Arial Narrow" w:cs="Arial"/>
                <w:sz w:val="22"/>
                <w:szCs w:val="22"/>
              </w:rPr>
              <w:t>Imipenem-Cilastatin-Relebactam</w:t>
            </w:r>
            <w:proofErr w:type="spellEnd"/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vorliegen. Wir vermuten, dass die Stichprobe jedoch zu klein war, als dass genügend Kosten- und Leistungsinformationen aus den Krankenhäusern vorliegen, um damit eine sachgerechte Abbildung im G-DRG System 202</w:t>
            </w:r>
            <w:r w:rsidR="00541AF6">
              <w:rPr>
                <w:rFonts w:ascii="Arial Narrow" w:hAnsi="Arial Narrow" w:cs="Arial"/>
                <w:sz w:val="22"/>
                <w:szCs w:val="22"/>
              </w:rPr>
              <w:t>6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zu ermöglichen.</w:t>
            </w:r>
          </w:p>
          <w:p w14:paraId="32E6ED5F" w14:textId="77777777" w:rsidR="00EE41E6" w:rsidRPr="00AF3111" w:rsidRDefault="00EE41E6" w:rsidP="00EE41E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02D144D" w14:textId="4E40F4FE" w:rsidR="00EE41E6" w:rsidRPr="00AF3111" w:rsidRDefault="00BB5658" w:rsidP="00EE41E6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Ein OPS</w:t>
            </w:r>
            <w:r w:rsidR="00EE41E6" w:rsidRPr="00AF3111">
              <w:rPr>
                <w:rFonts w:ascii="Arial Narrow" w:hAnsi="Arial Narrow" w:cs="Arial"/>
                <w:sz w:val="22"/>
                <w:szCs w:val="22"/>
              </w:rPr>
              <w:t>-Kode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 wurde erstmals im Jahr 2024 eingeführt</w:t>
            </w:r>
            <w:r w:rsidR="00A136FD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4A1EDA02" w14:textId="77777777" w:rsidR="00EE41E6" w:rsidRPr="00AF3111" w:rsidRDefault="00EE41E6" w:rsidP="00EE41E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C9E5F29" w14:textId="3845954D" w:rsidR="00EE41E6" w:rsidRPr="00AF3111" w:rsidRDefault="00EE41E6" w:rsidP="00EE41E6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>Die zusätzlichen Kosten von ca. 1</w:t>
            </w:r>
            <w:r w:rsidR="00E8536A" w:rsidRPr="00AF3111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>130</w:t>
            </w:r>
            <w:r w:rsidR="00BB5658" w:rsidRPr="00AF311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>€ pro Tag können aber mit der/den o.g. Fallpauschale(n) allein nicht ausreichend abgebildet werden</w:t>
            </w:r>
            <w:r w:rsidR="00B929F8" w:rsidRPr="00AF3111">
              <w:rPr>
                <w:rFonts w:ascii="Arial Narrow" w:hAnsi="Arial Narrow" w:cs="Arial"/>
                <w:sz w:val="22"/>
                <w:szCs w:val="22"/>
              </w:rPr>
              <w:t xml:space="preserve"> und </w:t>
            </w:r>
            <w:proofErr w:type="spellStart"/>
            <w:r w:rsidR="00B929F8" w:rsidRPr="00AF3111">
              <w:rPr>
                <w:rFonts w:ascii="Arial Narrow" w:hAnsi="Arial Narrow" w:cs="Arial"/>
                <w:sz w:val="22"/>
                <w:szCs w:val="22"/>
              </w:rPr>
              <w:t>Imipenem-Cilastatin-Relebactam</w:t>
            </w:r>
            <w:proofErr w:type="spellEnd"/>
            <w:r w:rsidR="00B929F8" w:rsidRPr="00AF311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97512" w:rsidRPr="00AF3111">
              <w:rPr>
                <w:rFonts w:ascii="Arial Narrow" w:hAnsi="Arial Narrow" w:cs="Arial"/>
                <w:sz w:val="22"/>
                <w:szCs w:val="22"/>
              </w:rPr>
              <w:t xml:space="preserve">ist bisher im </w:t>
            </w:r>
            <w:proofErr w:type="gramStart"/>
            <w:r w:rsidR="00997512" w:rsidRPr="00AF3111">
              <w:rPr>
                <w:rFonts w:ascii="Arial Narrow" w:hAnsi="Arial Narrow" w:cs="Arial"/>
                <w:sz w:val="22"/>
                <w:szCs w:val="22"/>
              </w:rPr>
              <w:t>ZE Katalog</w:t>
            </w:r>
            <w:proofErr w:type="gramEnd"/>
            <w:r w:rsidR="00997512" w:rsidRPr="00AF3111">
              <w:rPr>
                <w:rFonts w:ascii="Arial Narrow" w:hAnsi="Arial Narrow" w:cs="Arial"/>
                <w:sz w:val="22"/>
                <w:szCs w:val="22"/>
              </w:rPr>
              <w:t xml:space="preserve"> nicht enthalten</w:t>
            </w: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</w:p>
          <w:p w14:paraId="222643B9" w14:textId="14D7000A" w:rsidR="00997512" w:rsidRPr="00AF3111" w:rsidRDefault="00EE41E6" w:rsidP="0099751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F3111">
              <w:rPr>
                <w:rFonts w:ascii="Arial Narrow" w:hAnsi="Arial Narrow" w:cs="Arial"/>
                <w:sz w:val="22"/>
                <w:szCs w:val="22"/>
              </w:rPr>
              <w:t xml:space="preserve">Aufgrund der hohen Kosten des Medikaments kommt es zu einer Unterfinanzierung in der/den betroffenen DRG(s). </w:t>
            </w:r>
          </w:p>
        </w:tc>
      </w:tr>
    </w:tbl>
    <w:p w14:paraId="0A50A959" w14:textId="77777777" w:rsidR="008E6675" w:rsidRPr="00AF3111" w:rsidRDefault="008E6675" w:rsidP="005638EB">
      <w:pPr>
        <w:rPr>
          <w:rFonts w:ascii="Arial Narrow" w:hAnsi="Arial Narrow"/>
          <w:sz w:val="22"/>
          <w:szCs w:val="22"/>
        </w:rPr>
      </w:pPr>
    </w:p>
    <w:sectPr w:rsidR="008E6675" w:rsidRPr="00AF3111" w:rsidSect="00E422BE">
      <w:headerReference w:type="default" r:id="rId10"/>
      <w:footerReference w:type="even" r:id="rId11"/>
      <w:footerReference w:type="default" r:id="rId12"/>
      <w:pgSz w:w="11906" w:h="16838"/>
      <w:pgMar w:top="1417" w:right="1417" w:bottom="1134" w:left="1417" w:header="708" w:footer="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3F63" w14:textId="77777777" w:rsidR="00F805D0" w:rsidRDefault="00F805D0">
      <w:r>
        <w:separator/>
      </w:r>
    </w:p>
  </w:endnote>
  <w:endnote w:type="continuationSeparator" w:id="0">
    <w:p w14:paraId="1D939959" w14:textId="77777777" w:rsidR="00F805D0" w:rsidRDefault="00F805D0">
      <w:r>
        <w:continuationSeparator/>
      </w:r>
    </w:p>
  </w:endnote>
  <w:endnote w:type="continuationNotice" w:id="1">
    <w:p w14:paraId="28EEDB73" w14:textId="77777777" w:rsidR="00F805D0" w:rsidRDefault="00F80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Std-L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714692066"/>
      <w:docPartObj>
        <w:docPartGallery w:val="Page Numbers (Bottom of Page)"/>
        <w:docPartUnique/>
      </w:docPartObj>
    </w:sdtPr>
    <w:sdtContent>
      <w:p w14:paraId="01573FAB" w14:textId="1D6E7F66" w:rsidR="00004B19" w:rsidRDefault="00004B19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94DE746" w14:textId="77777777" w:rsidR="00004B19" w:rsidRDefault="00004B19" w:rsidP="00004B19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6D3D" w14:textId="77777777" w:rsidR="00F64982" w:rsidRPr="003D1298" w:rsidRDefault="00F64982" w:rsidP="00E422BE">
    <w:pPr>
      <w:pStyle w:val="Fuzeile"/>
      <w:rPr>
        <w:rFonts w:ascii="Arial Narrow" w:hAnsi="Arial Narrow" w:cs="Arial"/>
        <w:sz w:val="20"/>
        <w:szCs w:val="20"/>
      </w:rPr>
    </w:pPr>
    <w:r w:rsidRPr="003D1298">
      <w:rPr>
        <w:rFonts w:ascii="Arial Narrow" w:hAnsi="Arial Narrow" w:cs="Arial"/>
        <w:sz w:val="20"/>
        <w:szCs w:val="20"/>
      </w:rPr>
      <w:t xml:space="preserve">NUB-Musteranfrage </w:t>
    </w:r>
    <w:proofErr w:type="spellStart"/>
    <w:r w:rsidR="00E8536A" w:rsidRPr="003D1298">
      <w:rPr>
        <w:rFonts w:ascii="Arial Narrow" w:hAnsi="Arial Narrow" w:cs="Arial"/>
        <w:color w:val="000000" w:themeColor="text1"/>
        <w:sz w:val="20"/>
        <w:szCs w:val="20"/>
      </w:rPr>
      <w:t>Imipenem-Cilastatin-Relebactam</w:t>
    </w:r>
    <w:proofErr w:type="spellEnd"/>
  </w:p>
  <w:p w14:paraId="2FA6A649" w14:textId="32874BC3" w:rsidR="00F64982" w:rsidRPr="003D1298" w:rsidRDefault="00F64982" w:rsidP="00435583">
    <w:pPr>
      <w:pStyle w:val="Fuzeile"/>
      <w:rPr>
        <w:rFonts w:ascii="Arial Narrow" w:hAnsi="Arial Narrow" w:cs="Arial"/>
        <w:sz w:val="20"/>
        <w:szCs w:val="20"/>
      </w:rPr>
    </w:pPr>
    <w:hyperlink r:id="rId1" w:history="1">
      <w:r w:rsidRPr="003D1298">
        <w:rPr>
          <w:rStyle w:val="Hyperlink"/>
          <w:rFonts w:ascii="Arial Narrow" w:hAnsi="Arial Narrow" w:cs="Arial"/>
          <w:sz w:val="20"/>
          <w:szCs w:val="20"/>
        </w:rPr>
        <w:t>Arbeitskreis DRG und Gesundheitsökonomie der Deutschen Gesellschaft für Hämatologie und medizinische Onkologie e.V.</w:t>
      </w:r>
    </w:hyperlink>
  </w:p>
  <w:p w14:paraId="2746125E" w14:textId="53506E72" w:rsidR="00F64982" w:rsidRPr="003D1298" w:rsidRDefault="00CE7439" w:rsidP="00435583">
    <w:pPr>
      <w:pStyle w:val="Fuzeile"/>
      <w:rPr>
        <w:rFonts w:ascii="Arial Narrow" w:hAnsi="Arial Narrow" w:cs="Arial"/>
        <w:sz w:val="20"/>
        <w:szCs w:val="20"/>
      </w:rPr>
    </w:pPr>
    <w:hyperlink r:id="rId2" w:history="1">
      <w:r w:rsidRPr="003D1298">
        <w:rPr>
          <w:rStyle w:val="Hyperlink"/>
          <w:rFonts w:ascii="Arial Narrow" w:hAnsi="Arial Narrow" w:cs="Arial"/>
          <w:sz w:val="20"/>
          <w:szCs w:val="20"/>
        </w:rPr>
        <w:t>www.dgho.de</w:t>
      </w:r>
    </w:hyperlink>
  </w:p>
  <w:p w14:paraId="6731ED65" w14:textId="45900BFB" w:rsidR="00CE7439" w:rsidRPr="003D1298" w:rsidRDefault="00CE7439" w:rsidP="00435583">
    <w:pPr>
      <w:pStyle w:val="Fuzeile"/>
      <w:rPr>
        <w:rFonts w:ascii="Arial Narrow" w:hAnsi="Arial Narrow" w:cs="Arial"/>
        <w:sz w:val="20"/>
        <w:szCs w:val="20"/>
      </w:rPr>
    </w:pPr>
    <w:r w:rsidRPr="003D1298">
      <w:rPr>
        <w:rFonts w:ascii="Arial Narrow" w:hAnsi="Arial Narrow" w:cs="Arial"/>
        <w:sz w:val="20"/>
        <w:szCs w:val="20"/>
      </w:rPr>
      <w:t xml:space="preserve">Deutsche Gesellschaft für Infektiologie e. V., </w:t>
    </w:r>
    <w:hyperlink r:id="rId3" w:history="1">
      <w:r w:rsidRPr="003D1298">
        <w:rPr>
          <w:rStyle w:val="Hyperlink"/>
          <w:rFonts w:ascii="Arial Narrow" w:hAnsi="Arial Narrow" w:cs="Arial"/>
          <w:sz w:val="20"/>
          <w:szCs w:val="20"/>
        </w:rPr>
        <w:t>www.dgi-net.de</w:t>
      </w:r>
    </w:hyperlink>
  </w:p>
  <w:p w14:paraId="4F33F2DF" w14:textId="77777777" w:rsidR="00E422BE" w:rsidRPr="00CF3890" w:rsidRDefault="00E422BE" w:rsidP="00E422BE">
    <w:pPr>
      <w:pStyle w:val="Fuzeile"/>
      <w:framePr w:wrap="none" w:vAnchor="text" w:hAnchor="page" w:x="1411" w:y="5"/>
      <w:rPr>
        <w:rStyle w:val="Seitenzahl"/>
        <w:rFonts w:ascii="Arial Narrow" w:hAnsi="Arial Narrow" w:cs="Arial"/>
        <w:sz w:val="20"/>
        <w:szCs w:val="20"/>
      </w:rPr>
    </w:pPr>
    <w:bookmarkStart w:id="0" w:name="_Hlk139466795"/>
    <w:bookmarkStart w:id="1" w:name="_Hlk139466796"/>
    <w:r w:rsidRPr="00CF3890">
      <w:rPr>
        <w:rStyle w:val="Seitenzahl"/>
        <w:rFonts w:ascii="Arial Narrow" w:hAnsi="Arial Narrow" w:cs="Arial"/>
        <w:sz w:val="20"/>
        <w:szCs w:val="20"/>
      </w:rPr>
      <w:t xml:space="preserve">Seite </w:t>
    </w:r>
    <w:sdt>
      <w:sdtPr>
        <w:rPr>
          <w:rStyle w:val="Seitenzahl"/>
          <w:rFonts w:ascii="Arial Narrow" w:hAnsi="Arial Narrow" w:cs="Arial"/>
          <w:sz w:val="20"/>
          <w:szCs w:val="20"/>
        </w:rPr>
        <w:id w:val="622501315"/>
        <w:docPartObj>
          <w:docPartGallery w:val="Page Numbers (Bottom of Page)"/>
          <w:docPartUnique/>
        </w:docPartObj>
      </w:sdtPr>
      <w:sdtContent>
        <w:r w:rsidRPr="00CF3890">
          <w:rPr>
            <w:rStyle w:val="Seitenzahl"/>
            <w:rFonts w:ascii="Arial Narrow" w:hAnsi="Arial Narrow" w:cs="Arial"/>
            <w:sz w:val="20"/>
            <w:szCs w:val="20"/>
          </w:rPr>
          <w:fldChar w:fldCharType="begin"/>
        </w:r>
        <w:r w:rsidRPr="00CF3890">
          <w:rPr>
            <w:rStyle w:val="Seitenzahl"/>
            <w:rFonts w:ascii="Arial Narrow" w:hAnsi="Arial Narrow" w:cs="Arial"/>
            <w:sz w:val="20"/>
            <w:szCs w:val="20"/>
          </w:rPr>
          <w:instrText xml:space="preserve"> PAGE </w:instrText>
        </w:r>
        <w:r w:rsidRPr="00CF3890">
          <w:rPr>
            <w:rStyle w:val="Seitenzahl"/>
            <w:rFonts w:ascii="Arial Narrow" w:hAnsi="Arial Narrow" w:cs="Arial"/>
            <w:sz w:val="20"/>
            <w:szCs w:val="20"/>
          </w:rPr>
          <w:fldChar w:fldCharType="separate"/>
        </w:r>
        <w:r w:rsidRPr="00CF3890">
          <w:rPr>
            <w:rStyle w:val="Seitenzahl"/>
            <w:rFonts w:ascii="Arial Narrow" w:hAnsi="Arial Narrow" w:cs="Arial"/>
            <w:noProof/>
            <w:sz w:val="20"/>
            <w:szCs w:val="20"/>
          </w:rPr>
          <w:t>1</w:t>
        </w:r>
        <w:r w:rsidRPr="00CF3890">
          <w:rPr>
            <w:rStyle w:val="Seitenzahl"/>
            <w:rFonts w:ascii="Arial Narrow" w:hAnsi="Arial Narrow" w:cs="Arial"/>
            <w:sz w:val="20"/>
            <w:szCs w:val="20"/>
          </w:rPr>
          <w:fldChar w:fldCharType="end"/>
        </w:r>
        <w:r w:rsidRPr="00CF3890">
          <w:rPr>
            <w:rStyle w:val="Seitenzahl"/>
            <w:rFonts w:ascii="Arial Narrow" w:hAnsi="Arial Narrow" w:cs="Arial"/>
            <w:sz w:val="20"/>
            <w:szCs w:val="20"/>
          </w:rPr>
          <w:t xml:space="preserve"> von 4</w:t>
        </w:r>
      </w:sdtContent>
    </w:sdt>
  </w:p>
  <w:p w14:paraId="0AC11DE7" w14:textId="3E4BECEC" w:rsidR="00BB1B31" w:rsidRPr="00362A01" w:rsidRDefault="00BB1B31" w:rsidP="00E422BE">
    <w:pPr>
      <w:rPr>
        <w:rFonts w:ascii="Arial" w:hAnsi="Arial" w:cs="Arial"/>
        <w:snapToGrid w:val="0"/>
        <w:sz w:val="20"/>
        <w:szCs w:val="20"/>
      </w:rPr>
    </w:pPr>
  </w:p>
  <w:p w14:paraId="1F5DEFE7" w14:textId="2B3907E8" w:rsidR="006E3828" w:rsidRPr="005E3034" w:rsidRDefault="006E3828" w:rsidP="006E3828">
    <w:pPr>
      <w:rPr>
        <w:sz w:val="20"/>
        <w:szCs w:val="20"/>
        <w:lang w:val="en-US"/>
      </w:rPr>
    </w:pPr>
    <w:bookmarkStart w:id="2" w:name="_Hlk139616808"/>
    <w:bookmarkStart w:id="3" w:name="_Hlk139616809"/>
    <w:bookmarkEnd w:id="0"/>
    <w:bookmarkEnd w:id="1"/>
    <w:r w:rsidRPr="005E3034">
      <w:rPr>
        <w:rFonts w:ascii="Arial Narrow" w:hAnsi="Arial Narrow"/>
        <w:sz w:val="20"/>
        <w:szCs w:val="20"/>
        <w:highlight w:val="yellow"/>
        <w:lang w:val="en-US"/>
      </w:rPr>
      <w:t xml:space="preserve">26-[DGHO-Nr] </w:t>
    </w:r>
    <w:r w:rsidRPr="005E3034">
      <w:rPr>
        <w:rFonts w:ascii="Arial Narrow" w:hAnsi="Arial Narrow" w:cs="Arial"/>
        <w:color w:val="000000" w:themeColor="text1"/>
        <w:sz w:val="20"/>
        <w:szCs w:val="20"/>
        <w:lang w:val="en-US"/>
      </w:rPr>
      <w:t>Imipenem-</w:t>
    </w:r>
    <w:proofErr w:type="spellStart"/>
    <w:r w:rsidRPr="005E3034">
      <w:rPr>
        <w:rFonts w:ascii="Arial Narrow" w:hAnsi="Arial Narrow" w:cs="Arial"/>
        <w:color w:val="000000" w:themeColor="text1"/>
        <w:sz w:val="20"/>
        <w:szCs w:val="20"/>
        <w:lang w:val="en-US"/>
      </w:rPr>
      <w:t>Cilastatin</w:t>
    </w:r>
    <w:proofErr w:type="spellEnd"/>
    <w:r w:rsidRPr="005E3034">
      <w:rPr>
        <w:rFonts w:ascii="Arial Narrow" w:hAnsi="Arial Narrow" w:cs="Arial"/>
        <w:color w:val="000000" w:themeColor="text1"/>
        <w:sz w:val="20"/>
        <w:szCs w:val="20"/>
        <w:lang w:val="en-US"/>
      </w:rPr>
      <w:t>-</w:t>
    </w:r>
    <w:proofErr w:type="spellStart"/>
    <w:r w:rsidRPr="005E3034">
      <w:rPr>
        <w:rFonts w:ascii="Arial Narrow" w:hAnsi="Arial Narrow" w:cs="Arial"/>
        <w:color w:val="000000" w:themeColor="text1"/>
        <w:sz w:val="20"/>
        <w:szCs w:val="20"/>
        <w:lang w:val="en-US"/>
      </w:rPr>
      <w:t>Relebactam</w:t>
    </w:r>
    <w:r w:rsidRPr="00C50622">
      <w:rPr>
        <w:rFonts w:ascii="Arial Narrow" w:hAnsi="Arial Narrow"/>
        <w:sz w:val="20"/>
        <w:szCs w:val="20"/>
        <w:lang w:val="en-US"/>
      </w:rPr>
      <w:t>_</w:t>
    </w:r>
    <w:r w:rsidRPr="005E3034">
      <w:rPr>
        <w:rFonts w:ascii="Arial Narrow" w:hAnsi="Arial Narrow"/>
        <w:sz w:val="20"/>
        <w:szCs w:val="20"/>
        <w:lang w:val="en-US"/>
      </w:rPr>
      <w:t>NUB-Anfrage-DGHO_</w:t>
    </w:r>
    <w:r w:rsidRPr="005E3034">
      <w:rPr>
        <w:rFonts w:ascii="Arial Narrow" w:hAnsi="Arial Narrow"/>
        <w:sz w:val="20"/>
        <w:szCs w:val="20"/>
        <w:highlight w:val="yellow"/>
        <w:lang w:val="en-US"/>
      </w:rPr>
      <w:t>Stand</w:t>
    </w:r>
    <w:proofErr w:type="spellEnd"/>
    <w:r w:rsidRPr="005E3034">
      <w:rPr>
        <w:rFonts w:ascii="Arial Narrow" w:hAnsi="Arial Narrow"/>
        <w:sz w:val="20"/>
        <w:szCs w:val="20"/>
        <w:highlight w:val="yellow"/>
        <w:lang w:val="en-US"/>
      </w:rPr>
      <w:t xml:space="preserve"> [2025-</w:t>
    </w:r>
    <w:r w:rsidRPr="005E3034">
      <w:rPr>
        <w:rFonts w:ascii="Arial Narrow" w:hAnsi="Arial Narrow"/>
        <w:sz w:val="20"/>
        <w:szCs w:val="20"/>
        <w:highlight w:val="yellow"/>
        <w:lang w:val="en-US"/>
      </w:rPr>
      <w:t>09</w:t>
    </w:r>
    <w:r w:rsidRPr="005E3034">
      <w:rPr>
        <w:rFonts w:ascii="Arial Narrow" w:hAnsi="Arial Narrow"/>
        <w:sz w:val="20"/>
        <w:szCs w:val="20"/>
        <w:highlight w:val="yellow"/>
        <w:lang w:val="en-US"/>
      </w:rPr>
      <w:t>-</w:t>
    </w:r>
    <w:proofErr w:type="gramStart"/>
    <w:r w:rsidRPr="005E3034">
      <w:rPr>
        <w:rFonts w:ascii="Arial Narrow" w:hAnsi="Arial Narrow"/>
        <w:sz w:val="20"/>
        <w:szCs w:val="20"/>
        <w:highlight w:val="yellow"/>
        <w:lang w:val="en-US"/>
      </w:rPr>
      <w:t>15</w:t>
    </w:r>
    <w:r w:rsidRPr="005E3034">
      <w:rPr>
        <w:rFonts w:ascii="Arial Narrow" w:hAnsi="Arial Narrow"/>
        <w:sz w:val="20"/>
        <w:szCs w:val="20"/>
        <w:highlight w:val="yellow"/>
        <w:lang w:val="en-US"/>
      </w:rPr>
      <w:t>]_</w:t>
    </w:r>
    <w:proofErr w:type="gramEnd"/>
    <w:r w:rsidRPr="005E3034">
      <w:rPr>
        <w:rFonts w:ascii="Arial Narrow" w:hAnsi="Arial Narrow"/>
        <w:sz w:val="20"/>
        <w:szCs w:val="20"/>
        <w:highlight w:val="yellow"/>
        <w:lang w:val="en-US"/>
      </w:rPr>
      <w:t>Version [</w:t>
    </w:r>
    <w:bookmarkEnd w:id="2"/>
    <w:bookmarkEnd w:id="3"/>
    <w:r w:rsidR="005E3034" w:rsidRPr="005E3034">
      <w:rPr>
        <w:rFonts w:ascii="Arial Narrow" w:hAnsi="Arial Narrow"/>
        <w:sz w:val="20"/>
        <w:szCs w:val="20"/>
        <w:lang w:val="en-US"/>
      </w:rPr>
      <w:t>2-final</w:t>
    </w:r>
    <w:r w:rsidR="005E3034">
      <w:rPr>
        <w:rFonts w:ascii="Arial Narrow" w:hAnsi="Arial Narrow"/>
        <w:sz w:val="20"/>
        <w:szCs w:val="20"/>
        <w:lang w:val="en-US"/>
      </w:rPr>
      <w:t>]</w:t>
    </w:r>
  </w:p>
  <w:p w14:paraId="6E7C81DA" w14:textId="6486BFED" w:rsidR="00F64982" w:rsidRPr="00C538B6" w:rsidRDefault="00F64982" w:rsidP="00435583">
    <w:pPr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82B4" w14:textId="77777777" w:rsidR="00F805D0" w:rsidRDefault="00F805D0">
      <w:r>
        <w:separator/>
      </w:r>
    </w:p>
  </w:footnote>
  <w:footnote w:type="continuationSeparator" w:id="0">
    <w:p w14:paraId="3CCDE291" w14:textId="77777777" w:rsidR="00F805D0" w:rsidRDefault="00F805D0">
      <w:r>
        <w:continuationSeparator/>
      </w:r>
    </w:p>
  </w:footnote>
  <w:footnote w:type="continuationNotice" w:id="1">
    <w:p w14:paraId="73E3D2BA" w14:textId="77777777" w:rsidR="00F805D0" w:rsidRDefault="00F805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8799" w14:textId="0E8D06F2" w:rsidR="00F64982" w:rsidRPr="004C4F82" w:rsidRDefault="00F64982" w:rsidP="00596F9A">
    <w:pPr>
      <w:pStyle w:val="Titel"/>
      <w:rPr>
        <w:sz w:val="48"/>
      </w:rPr>
    </w:pPr>
    <w:proofErr w:type="gramStart"/>
    <w:r w:rsidRPr="004C4F82">
      <w:rPr>
        <w:sz w:val="48"/>
      </w:rPr>
      <w:t>NUB Antrag</w:t>
    </w:r>
    <w:proofErr w:type="gramEnd"/>
    <w:r w:rsidRPr="004C4F82">
      <w:rPr>
        <w:sz w:val="48"/>
      </w:rPr>
      <w:t xml:space="preserve"> 20</w:t>
    </w:r>
    <w:r>
      <w:rPr>
        <w:sz w:val="48"/>
      </w:rPr>
      <w:t>2</w:t>
    </w:r>
    <w:r w:rsidR="00822FD2">
      <w:rPr>
        <w:sz w:val="48"/>
      </w:rPr>
      <w:t>5</w:t>
    </w:r>
    <w:r w:rsidRPr="004C4F82">
      <w:rPr>
        <w:sz w:val="48"/>
      </w:rPr>
      <w:t>/20</w:t>
    </w:r>
    <w:r>
      <w:rPr>
        <w:sz w:val="48"/>
      </w:rPr>
      <w:t>2</w:t>
    </w:r>
    <w:r w:rsidR="00822FD2">
      <w:rPr>
        <w:sz w:val="48"/>
      </w:rPr>
      <w:t>6</w:t>
    </w:r>
    <w:r w:rsidRPr="004C4F82">
      <w:rPr>
        <w:sz w:val="48"/>
      </w:rPr>
      <w:t xml:space="preserve"> </w:t>
    </w:r>
  </w:p>
  <w:p w14:paraId="06C777A4" w14:textId="77777777" w:rsidR="005052BD" w:rsidRPr="004C4F82" w:rsidRDefault="005052BD" w:rsidP="005052BD">
    <w:pPr>
      <w:pStyle w:val="Titel"/>
      <w:rPr>
        <w:sz w:val="48"/>
      </w:rPr>
    </w:pPr>
    <w:proofErr w:type="spellStart"/>
    <w:r w:rsidRPr="002F71AA">
      <w:rPr>
        <w:sz w:val="48"/>
      </w:rPr>
      <w:t>Imipenem</w:t>
    </w:r>
    <w:r>
      <w:rPr>
        <w:sz w:val="48"/>
      </w:rPr>
      <w:t>-</w:t>
    </w:r>
    <w:r w:rsidRPr="002F71AA">
      <w:rPr>
        <w:sz w:val="48"/>
      </w:rPr>
      <w:t>Cilastatin</w:t>
    </w:r>
    <w:r>
      <w:rPr>
        <w:sz w:val="48"/>
      </w:rPr>
      <w:t>-</w:t>
    </w:r>
    <w:r w:rsidRPr="002F71AA">
      <w:rPr>
        <w:sz w:val="48"/>
      </w:rPr>
      <w:t>Relebactam</w:t>
    </w:r>
    <w:proofErr w:type="spellEnd"/>
  </w:p>
  <w:p w14:paraId="38DF28C4" w14:textId="77777777" w:rsidR="00F64982" w:rsidRDefault="00F649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83"/>
    <w:multiLevelType w:val="multilevel"/>
    <w:tmpl w:val="1D4663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E5C1CCB"/>
    <w:multiLevelType w:val="multilevel"/>
    <w:tmpl w:val="7D024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F79547B"/>
    <w:multiLevelType w:val="hybridMultilevel"/>
    <w:tmpl w:val="2D9E6666"/>
    <w:lvl w:ilvl="0" w:tplc="B7C8F3CA">
      <w:start w:val="2"/>
      <w:numFmt w:val="bullet"/>
      <w:lvlText w:val="-"/>
      <w:lvlJc w:val="left"/>
      <w:pPr>
        <w:ind w:left="720" w:hanging="360"/>
      </w:pPr>
      <w:rPr>
        <w:rFonts w:ascii="Arial Narrow" w:eastAsia="HelveticaNeueLTStd-Lt" w:hAnsi="Arial Narrow" w:cs="HelveticaNeueLTStd-L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C1304"/>
    <w:multiLevelType w:val="hybridMultilevel"/>
    <w:tmpl w:val="49187E7A"/>
    <w:lvl w:ilvl="0" w:tplc="F4DC3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CA0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B6E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E6B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A8A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AC1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4C6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8C7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C29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81313"/>
    <w:multiLevelType w:val="hybridMultilevel"/>
    <w:tmpl w:val="7F4E33F6"/>
    <w:lvl w:ilvl="0" w:tplc="9AEE24C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81F03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DC5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508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98B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68C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1E2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AEE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5C5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DF16A7"/>
    <w:multiLevelType w:val="hybridMultilevel"/>
    <w:tmpl w:val="C03417FA"/>
    <w:lvl w:ilvl="0" w:tplc="AFFA7C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C15EE"/>
    <w:multiLevelType w:val="multilevel"/>
    <w:tmpl w:val="E7206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96300F9"/>
    <w:multiLevelType w:val="hybridMultilevel"/>
    <w:tmpl w:val="D0F4BD28"/>
    <w:lvl w:ilvl="0" w:tplc="47D65AF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2"/>
      </w:rPr>
    </w:lvl>
    <w:lvl w:ilvl="1" w:tplc="3AC05F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0DA7D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27838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0A443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9ABF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FE61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01008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F2C4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C1D1057"/>
    <w:multiLevelType w:val="hybridMultilevel"/>
    <w:tmpl w:val="254E9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E6F25"/>
    <w:multiLevelType w:val="multilevel"/>
    <w:tmpl w:val="6F323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0" w15:restartNumberingAfterBreak="0">
    <w:nsid w:val="505E71FC"/>
    <w:multiLevelType w:val="hybridMultilevel"/>
    <w:tmpl w:val="3BBABC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B1A21"/>
    <w:multiLevelType w:val="hybridMultilevel"/>
    <w:tmpl w:val="8BACE4F6"/>
    <w:lvl w:ilvl="0" w:tplc="9214804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296C6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049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80E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C8E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10F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86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D23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486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6297720"/>
    <w:multiLevelType w:val="hybridMultilevel"/>
    <w:tmpl w:val="D372435A"/>
    <w:lvl w:ilvl="0" w:tplc="89948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103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A25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CE2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68E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565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68F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5213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5EF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C36C0B"/>
    <w:multiLevelType w:val="hybridMultilevel"/>
    <w:tmpl w:val="82602F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F366D"/>
    <w:multiLevelType w:val="hybridMultilevel"/>
    <w:tmpl w:val="66C625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46094">
    <w:abstractNumId w:val="0"/>
  </w:num>
  <w:num w:numId="2" w16cid:durableId="2121683400">
    <w:abstractNumId w:val="12"/>
  </w:num>
  <w:num w:numId="3" w16cid:durableId="719785406">
    <w:abstractNumId w:val="7"/>
  </w:num>
  <w:num w:numId="4" w16cid:durableId="625551988">
    <w:abstractNumId w:val="4"/>
  </w:num>
  <w:num w:numId="5" w16cid:durableId="1875918036">
    <w:abstractNumId w:val="11"/>
  </w:num>
  <w:num w:numId="6" w16cid:durableId="2015569907">
    <w:abstractNumId w:val="3"/>
  </w:num>
  <w:num w:numId="7" w16cid:durableId="1128889235">
    <w:abstractNumId w:val="9"/>
  </w:num>
  <w:num w:numId="8" w16cid:durableId="1992173146">
    <w:abstractNumId w:val="6"/>
  </w:num>
  <w:num w:numId="9" w16cid:durableId="1772820077">
    <w:abstractNumId w:val="1"/>
  </w:num>
  <w:num w:numId="10" w16cid:durableId="1312321866">
    <w:abstractNumId w:val="8"/>
  </w:num>
  <w:num w:numId="11" w16cid:durableId="175072366">
    <w:abstractNumId w:val="2"/>
  </w:num>
  <w:num w:numId="12" w16cid:durableId="987368827">
    <w:abstractNumId w:val="5"/>
  </w:num>
  <w:num w:numId="13" w16cid:durableId="1034887260">
    <w:abstractNumId w:val="14"/>
  </w:num>
  <w:num w:numId="14" w16cid:durableId="1247693282">
    <w:abstractNumId w:val="10"/>
  </w:num>
  <w:num w:numId="15" w16cid:durableId="13571980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SwMDE0MDQxszQ1M7RQ0lEKTi0uzszPAykwqQUAfh+XLSwAAAA="/>
    <w:docVar w:name="dgnword-docGUID" w:val="{1E794084-83B0-4B46-BD37-262E0589DDB9}"/>
    <w:docVar w:name="dgnword-eventsink" w:val="507668536"/>
  </w:docVars>
  <w:rsids>
    <w:rsidRoot w:val="00234FB1"/>
    <w:rsid w:val="00004B19"/>
    <w:rsid w:val="00015BCA"/>
    <w:rsid w:val="00023856"/>
    <w:rsid w:val="00024651"/>
    <w:rsid w:val="00035B6F"/>
    <w:rsid w:val="0004094A"/>
    <w:rsid w:val="00044597"/>
    <w:rsid w:val="00065A38"/>
    <w:rsid w:val="00072A33"/>
    <w:rsid w:val="00075D81"/>
    <w:rsid w:val="00076315"/>
    <w:rsid w:val="000953D2"/>
    <w:rsid w:val="000A2193"/>
    <w:rsid w:val="000C6D4C"/>
    <w:rsid w:val="000C704A"/>
    <w:rsid w:val="00104C97"/>
    <w:rsid w:val="001165DD"/>
    <w:rsid w:val="00156FE0"/>
    <w:rsid w:val="00174C6A"/>
    <w:rsid w:val="00176DC1"/>
    <w:rsid w:val="001774E7"/>
    <w:rsid w:val="001A1587"/>
    <w:rsid w:val="001A7AC7"/>
    <w:rsid w:val="001C409F"/>
    <w:rsid w:val="001D3E9D"/>
    <w:rsid w:val="001D74AE"/>
    <w:rsid w:val="001F4753"/>
    <w:rsid w:val="002005AF"/>
    <w:rsid w:val="002333FF"/>
    <w:rsid w:val="00234FB1"/>
    <w:rsid w:val="0023579F"/>
    <w:rsid w:val="00256B7C"/>
    <w:rsid w:val="0027112E"/>
    <w:rsid w:val="0028432D"/>
    <w:rsid w:val="00285AE4"/>
    <w:rsid w:val="00293A25"/>
    <w:rsid w:val="002B4AF7"/>
    <w:rsid w:val="002D7403"/>
    <w:rsid w:val="002E5E26"/>
    <w:rsid w:val="002E61A8"/>
    <w:rsid w:val="00302781"/>
    <w:rsid w:val="00305016"/>
    <w:rsid w:val="0030501B"/>
    <w:rsid w:val="00343B91"/>
    <w:rsid w:val="003479E5"/>
    <w:rsid w:val="00356381"/>
    <w:rsid w:val="0036178C"/>
    <w:rsid w:val="00362A01"/>
    <w:rsid w:val="0036325A"/>
    <w:rsid w:val="00375F76"/>
    <w:rsid w:val="00392CA1"/>
    <w:rsid w:val="003B2E05"/>
    <w:rsid w:val="003D1298"/>
    <w:rsid w:val="003F2692"/>
    <w:rsid w:val="0040610F"/>
    <w:rsid w:val="00407514"/>
    <w:rsid w:val="0041156E"/>
    <w:rsid w:val="00435583"/>
    <w:rsid w:val="00454847"/>
    <w:rsid w:val="004642E2"/>
    <w:rsid w:val="00467246"/>
    <w:rsid w:val="00475781"/>
    <w:rsid w:val="00492AB4"/>
    <w:rsid w:val="00494C0F"/>
    <w:rsid w:val="004B3438"/>
    <w:rsid w:val="004B624B"/>
    <w:rsid w:val="004B67A8"/>
    <w:rsid w:val="004B6C59"/>
    <w:rsid w:val="004C4F82"/>
    <w:rsid w:val="004E1D02"/>
    <w:rsid w:val="00504FB4"/>
    <w:rsid w:val="0050526A"/>
    <w:rsid w:val="005052BD"/>
    <w:rsid w:val="005125E9"/>
    <w:rsid w:val="005135D7"/>
    <w:rsid w:val="00541AF6"/>
    <w:rsid w:val="00541B64"/>
    <w:rsid w:val="005524BC"/>
    <w:rsid w:val="005530A6"/>
    <w:rsid w:val="005563B2"/>
    <w:rsid w:val="005638EB"/>
    <w:rsid w:val="0057537C"/>
    <w:rsid w:val="00596F9A"/>
    <w:rsid w:val="005A2C10"/>
    <w:rsid w:val="005A7DC0"/>
    <w:rsid w:val="005E3034"/>
    <w:rsid w:val="005E4111"/>
    <w:rsid w:val="005F29C6"/>
    <w:rsid w:val="005F4D2E"/>
    <w:rsid w:val="00606A6F"/>
    <w:rsid w:val="00612463"/>
    <w:rsid w:val="006354B6"/>
    <w:rsid w:val="0063707C"/>
    <w:rsid w:val="006451B6"/>
    <w:rsid w:val="006549F4"/>
    <w:rsid w:val="00664E69"/>
    <w:rsid w:val="00681EC4"/>
    <w:rsid w:val="006C656D"/>
    <w:rsid w:val="006E07DC"/>
    <w:rsid w:val="006E1D1C"/>
    <w:rsid w:val="006E3828"/>
    <w:rsid w:val="006E6F91"/>
    <w:rsid w:val="006F373E"/>
    <w:rsid w:val="006F7F69"/>
    <w:rsid w:val="00704F49"/>
    <w:rsid w:val="00727A34"/>
    <w:rsid w:val="0075110B"/>
    <w:rsid w:val="00751F27"/>
    <w:rsid w:val="0075361C"/>
    <w:rsid w:val="007600D1"/>
    <w:rsid w:val="00765534"/>
    <w:rsid w:val="0078272D"/>
    <w:rsid w:val="007A314E"/>
    <w:rsid w:val="007A6F09"/>
    <w:rsid w:val="007B00B3"/>
    <w:rsid w:val="007B1896"/>
    <w:rsid w:val="007C5982"/>
    <w:rsid w:val="007F0381"/>
    <w:rsid w:val="007F255B"/>
    <w:rsid w:val="007F3C14"/>
    <w:rsid w:val="00802EF7"/>
    <w:rsid w:val="0080511D"/>
    <w:rsid w:val="00807564"/>
    <w:rsid w:val="0081137E"/>
    <w:rsid w:val="00816924"/>
    <w:rsid w:val="00822FD2"/>
    <w:rsid w:val="00826E1F"/>
    <w:rsid w:val="00843507"/>
    <w:rsid w:val="00845A76"/>
    <w:rsid w:val="00850D44"/>
    <w:rsid w:val="00890BC2"/>
    <w:rsid w:val="008B38C2"/>
    <w:rsid w:val="008B4504"/>
    <w:rsid w:val="008B7669"/>
    <w:rsid w:val="008C1686"/>
    <w:rsid w:val="008C2FA5"/>
    <w:rsid w:val="008C3A7A"/>
    <w:rsid w:val="008D12DD"/>
    <w:rsid w:val="008E6675"/>
    <w:rsid w:val="00900E00"/>
    <w:rsid w:val="00912192"/>
    <w:rsid w:val="009129ED"/>
    <w:rsid w:val="00925542"/>
    <w:rsid w:val="009545AF"/>
    <w:rsid w:val="00971210"/>
    <w:rsid w:val="00983554"/>
    <w:rsid w:val="00986EE4"/>
    <w:rsid w:val="00997512"/>
    <w:rsid w:val="009A0CB2"/>
    <w:rsid w:val="009B1C7E"/>
    <w:rsid w:val="009C0B84"/>
    <w:rsid w:val="009C144E"/>
    <w:rsid w:val="009C5162"/>
    <w:rsid w:val="009E1E6A"/>
    <w:rsid w:val="009F1EB7"/>
    <w:rsid w:val="00A00CCB"/>
    <w:rsid w:val="00A100DC"/>
    <w:rsid w:val="00A136FD"/>
    <w:rsid w:val="00A2016B"/>
    <w:rsid w:val="00A21E9E"/>
    <w:rsid w:val="00A345A9"/>
    <w:rsid w:val="00A417F8"/>
    <w:rsid w:val="00A43812"/>
    <w:rsid w:val="00A530BE"/>
    <w:rsid w:val="00A54198"/>
    <w:rsid w:val="00A55857"/>
    <w:rsid w:val="00A93AAD"/>
    <w:rsid w:val="00AA6B4F"/>
    <w:rsid w:val="00AB10BF"/>
    <w:rsid w:val="00AC65E6"/>
    <w:rsid w:val="00AE4C49"/>
    <w:rsid w:val="00AF3111"/>
    <w:rsid w:val="00B03A61"/>
    <w:rsid w:val="00B34BC4"/>
    <w:rsid w:val="00B574E9"/>
    <w:rsid w:val="00B6570D"/>
    <w:rsid w:val="00B773B8"/>
    <w:rsid w:val="00B929F8"/>
    <w:rsid w:val="00B972AA"/>
    <w:rsid w:val="00BA254F"/>
    <w:rsid w:val="00BA6044"/>
    <w:rsid w:val="00BB1B31"/>
    <w:rsid w:val="00BB4A54"/>
    <w:rsid w:val="00BB5658"/>
    <w:rsid w:val="00BC0E2B"/>
    <w:rsid w:val="00BC3D19"/>
    <w:rsid w:val="00BC4042"/>
    <w:rsid w:val="00BE3979"/>
    <w:rsid w:val="00BF11AE"/>
    <w:rsid w:val="00BF25CC"/>
    <w:rsid w:val="00BF4C9B"/>
    <w:rsid w:val="00C112A6"/>
    <w:rsid w:val="00C11458"/>
    <w:rsid w:val="00C21654"/>
    <w:rsid w:val="00C35BFE"/>
    <w:rsid w:val="00C50622"/>
    <w:rsid w:val="00C538B6"/>
    <w:rsid w:val="00C676EE"/>
    <w:rsid w:val="00C864BA"/>
    <w:rsid w:val="00CB2B8F"/>
    <w:rsid w:val="00CB3CA3"/>
    <w:rsid w:val="00CB7E53"/>
    <w:rsid w:val="00CC7E5F"/>
    <w:rsid w:val="00CD2365"/>
    <w:rsid w:val="00CE63B4"/>
    <w:rsid w:val="00CE69F3"/>
    <w:rsid w:val="00CE7439"/>
    <w:rsid w:val="00CF3890"/>
    <w:rsid w:val="00CF56C3"/>
    <w:rsid w:val="00CF5ECC"/>
    <w:rsid w:val="00D005D4"/>
    <w:rsid w:val="00D14350"/>
    <w:rsid w:val="00D216BD"/>
    <w:rsid w:val="00D21A79"/>
    <w:rsid w:val="00D316EC"/>
    <w:rsid w:val="00D41422"/>
    <w:rsid w:val="00D87B96"/>
    <w:rsid w:val="00D9586E"/>
    <w:rsid w:val="00DB14F4"/>
    <w:rsid w:val="00DB4789"/>
    <w:rsid w:val="00DC6CBD"/>
    <w:rsid w:val="00DE0DAA"/>
    <w:rsid w:val="00DF01F8"/>
    <w:rsid w:val="00DF4EBC"/>
    <w:rsid w:val="00E04C66"/>
    <w:rsid w:val="00E24E3B"/>
    <w:rsid w:val="00E27301"/>
    <w:rsid w:val="00E41570"/>
    <w:rsid w:val="00E422BE"/>
    <w:rsid w:val="00E53F75"/>
    <w:rsid w:val="00E54483"/>
    <w:rsid w:val="00E60CEE"/>
    <w:rsid w:val="00E8536A"/>
    <w:rsid w:val="00E86725"/>
    <w:rsid w:val="00E8744E"/>
    <w:rsid w:val="00E916C2"/>
    <w:rsid w:val="00E9243F"/>
    <w:rsid w:val="00E92C57"/>
    <w:rsid w:val="00EA6B64"/>
    <w:rsid w:val="00EC0987"/>
    <w:rsid w:val="00ED4386"/>
    <w:rsid w:val="00ED79AA"/>
    <w:rsid w:val="00EE0D0B"/>
    <w:rsid w:val="00EE1581"/>
    <w:rsid w:val="00EE41E6"/>
    <w:rsid w:val="00EE5875"/>
    <w:rsid w:val="00F000AA"/>
    <w:rsid w:val="00F0412E"/>
    <w:rsid w:val="00F21C4A"/>
    <w:rsid w:val="00F233AA"/>
    <w:rsid w:val="00F64982"/>
    <w:rsid w:val="00F805D0"/>
    <w:rsid w:val="00F91167"/>
    <w:rsid w:val="00F91EA8"/>
    <w:rsid w:val="00FA6FC5"/>
    <w:rsid w:val="00FB46A5"/>
    <w:rsid w:val="00FD4D3B"/>
    <w:rsid w:val="00FF4695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C61CDF"/>
  <w15:docId w15:val="{28760129-8B40-47C9-9997-635C12B7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D02"/>
    <w:rPr>
      <w:sz w:val="24"/>
      <w:szCs w:val="24"/>
    </w:rPr>
  </w:style>
  <w:style w:type="paragraph" w:styleId="berschrift2">
    <w:name w:val="heading 2"/>
    <w:basedOn w:val="Standard"/>
    <w:link w:val="berschrift2Zchn"/>
    <w:uiPriority w:val="99"/>
    <w:qFormat/>
    <w:rsid w:val="004E1D0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0"/>
      <w:szCs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8B4504"/>
    <w:rPr>
      <w:rFonts w:ascii="Cambria" w:hAnsi="Cambria" w:cs="Times New Roman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4E1D02"/>
    <w:pPr>
      <w:spacing w:line="480" w:lineRule="auto"/>
      <w:jc w:val="both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8B4504"/>
    <w:rPr>
      <w:rFonts w:cs="Times New Roman"/>
      <w:sz w:val="24"/>
      <w:szCs w:val="24"/>
    </w:rPr>
  </w:style>
  <w:style w:type="paragraph" w:styleId="StandardWeb">
    <w:name w:val="Normal (Web)"/>
    <w:basedOn w:val="Standard"/>
    <w:uiPriority w:val="99"/>
    <w:rsid w:val="004E1D02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Absatz-Standardschriftart"/>
    <w:uiPriority w:val="99"/>
    <w:rsid w:val="004E1D02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4E1D02"/>
    <w:rPr>
      <w:rFonts w:ascii="Arial" w:hAnsi="Arial" w:cs="Arial"/>
      <w:b/>
      <w:bCs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8B4504"/>
    <w:rPr>
      <w:rFonts w:cs="Times New Roman"/>
      <w:sz w:val="24"/>
      <w:szCs w:val="24"/>
    </w:rPr>
  </w:style>
  <w:style w:type="paragraph" w:customStyle="1" w:styleId="affiliation">
    <w:name w:val="affiliation"/>
    <w:basedOn w:val="Standard"/>
    <w:uiPriority w:val="99"/>
    <w:rsid w:val="004E1D02"/>
    <w:rPr>
      <w:color w:val="000000"/>
    </w:rPr>
  </w:style>
  <w:style w:type="character" w:customStyle="1" w:styleId="ti2">
    <w:name w:val="ti2"/>
    <w:basedOn w:val="Absatz-Standardschriftart"/>
    <w:uiPriority w:val="99"/>
    <w:rsid w:val="004E1D02"/>
    <w:rPr>
      <w:rFonts w:cs="Times New Roman"/>
    </w:rPr>
  </w:style>
  <w:style w:type="character" w:customStyle="1" w:styleId="featuredlinkouts">
    <w:name w:val="featured_linkouts"/>
    <w:basedOn w:val="Absatz-Standardschriftart"/>
    <w:uiPriority w:val="99"/>
    <w:rsid w:val="004E1D02"/>
    <w:rPr>
      <w:rFonts w:cs="Times New Roman"/>
    </w:rPr>
  </w:style>
  <w:style w:type="character" w:customStyle="1" w:styleId="linkbar">
    <w:name w:val="linkbar"/>
    <w:basedOn w:val="Absatz-Standardschriftart"/>
    <w:uiPriority w:val="99"/>
    <w:rsid w:val="004E1D02"/>
    <w:rPr>
      <w:rFonts w:cs="Times New Roman"/>
    </w:rPr>
  </w:style>
  <w:style w:type="character" w:styleId="BesuchterLink">
    <w:name w:val="FollowedHyperlink"/>
    <w:basedOn w:val="Absatz-Standardschriftart"/>
    <w:uiPriority w:val="99"/>
    <w:rsid w:val="004E1D02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4E1D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B4504"/>
    <w:rPr>
      <w:rFonts w:cs="Times New Roman"/>
      <w:sz w:val="2"/>
    </w:rPr>
  </w:style>
  <w:style w:type="paragraph" w:styleId="Titel">
    <w:name w:val="Title"/>
    <w:basedOn w:val="Standard"/>
    <w:next w:val="Standard"/>
    <w:link w:val="TitelZchn"/>
    <w:uiPriority w:val="99"/>
    <w:qFormat/>
    <w:rsid w:val="005638EB"/>
    <w:pPr>
      <w:pBdr>
        <w:bottom w:val="single" w:sz="8" w:space="4" w:color="2DA2BF"/>
      </w:pBdr>
      <w:spacing w:after="300"/>
      <w:contextualSpacing/>
    </w:pPr>
    <w:rPr>
      <w:rFonts w:ascii="Lucida Sans Unicode" w:hAnsi="Lucida Sans Unicode"/>
      <w:color w:val="343434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5638EB"/>
    <w:rPr>
      <w:rFonts w:ascii="Lucida Sans Unicode" w:hAnsi="Lucida Sans Unicode" w:cs="Times New Roman"/>
      <w:color w:val="343434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B4504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B4504"/>
    <w:rPr>
      <w:rFonts w:cs="Times New Roman"/>
      <w:sz w:val="24"/>
      <w:szCs w:val="24"/>
    </w:rPr>
  </w:style>
  <w:style w:type="paragraph" w:styleId="berarbeitung">
    <w:name w:val="Revision"/>
    <w:hidden/>
    <w:uiPriority w:val="99"/>
    <w:semiHidden/>
    <w:rsid w:val="00E53F75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43558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E7439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004B19"/>
  </w:style>
  <w:style w:type="character" w:styleId="Kommentarzeichen">
    <w:name w:val="annotation reference"/>
    <w:basedOn w:val="Absatz-Standardschriftart"/>
    <w:uiPriority w:val="99"/>
    <w:semiHidden/>
    <w:unhideWhenUsed/>
    <w:rsid w:val="004B67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B67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B67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67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67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gi-net.de" TargetMode="External"/><Relationship Id="rId2" Type="http://schemas.openxmlformats.org/officeDocument/2006/relationships/hyperlink" Target="http://www.dgho.de" TargetMode="External"/><Relationship Id="rId1" Type="http://schemas.openxmlformats.org/officeDocument/2006/relationships/hyperlink" Target="https://www.dgho.de/arbeitskreise/a-g/drg-gesundheitsoekono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E8A8321EAC77429F0AE51B49A58B02" ma:contentTypeVersion="6" ma:contentTypeDescription="Ein neues Dokument erstellen." ma:contentTypeScope="" ma:versionID="46f9b8c1029ff3a5e38518161dbea491">
  <xsd:schema xmlns:xsd="http://www.w3.org/2001/XMLSchema" xmlns:xs="http://www.w3.org/2001/XMLSchema" xmlns:p="http://schemas.microsoft.com/office/2006/metadata/properties" xmlns:ns2="2d076682-27a3-4304-b527-b918986f088e" xmlns:ns3="fe9ae99a-0496-4898-989f-e27614239e60" targetNamespace="http://schemas.microsoft.com/office/2006/metadata/properties" ma:root="true" ma:fieldsID="79d3c8853db0a645c1ed4d6c1c8322ba" ns2:_="" ns3:_="">
    <xsd:import namespace="2d076682-27a3-4304-b527-b918986f088e"/>
    <xsd:import namespace="fe9ae99a-0496-4898-989f-e27614239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6682-27a3-4304-b527-b918986f0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ae99a-0496-4898-989f-e27614239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D2B7D-02D7-4CC4-8393-266E02E10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4801F1-6F97-4AD4-8D84-8787DADC5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76682-27a3-4304-b527-b918986f088e"/>
    <ds:schemaRef ds:uri="fe9ae99a-0496-4898-989f-e27614239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C21BD-BE16-45E7-AD50-958CD38E8D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1457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Klinikum der Universitaet Muenchen</Company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Massenkeil</dc:creator>
  <cp:keywords/>
  <cp:lastModifiedBy>Leonie Schumacher</cp:lastModifiedBy>
  <cp:revision>44</cp:revision>
  <cp:lastPrinted>2012-10-10T09:17:00Z</cp:lastPrinted>
  <dcterms:created xsi:type="dcterms:W3CDTF">2025-09-12T14:22:00Z</dcterms:created>
  <dcterms:modified xsi:type="dcterms:W3CDTF">2025-09-15T13:32:00Z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0x01010054E8A8321EAC77429F0AE51B49A58B02</vt:lpwstr>
  </property>
  <property fmtid="{D5CDD505-2E9C-101B-9397-08002B2CF9AE}" pid="3" name="GrammarlyDocumentId">
    <vt:lpwstr>db18e9f9c6416d11a008fb8563a17397f804a9de6c649b74f4a7a20d6dc141f7</vt:lpwstr>
  </property>
</Properties>
</file>