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755720F2" w:rsidR="008E6675" w:rsidRPr="005638EB" w:rsidRDefault="008E6675" w:rsidP="005638EB">
            <w:pPr>
              <w:rPr>
                <w:rFonts w:ascii="Arial Narrow" w:hAnsi="Arial Narrow"/>
              </w:rPr>
            </w:pPr>
            <w:r w:rsidRPr="00017C77">
              <w:rPr>
                <w:rFonts w:ascii="Arial Narrow" w:hAnsi="Arial Narrow"/>
                <w:sz w:val="22"/>
              </w:rPr>
              <w:t>Dieser Antrag wurde durch</w:t>
            </w:r>
            <w:r w:rsidR="004C0FD0" w:rsidRPr="00017C77">
              <w:rPr>
                <w:rFonts w:ascii="Arial Narrow" w:hAnsi="Arial Narrow"/>
                <w:sz w:val="22"/>
              </w:rPr>
              <w:t xml:space="preserve"> das</w:t>
            </w:r>
            <w:r w:rsidRPr="00017C77">
              <w:rPr>
                <w:rFonts w:ascii="Arial Narrow" w:hAnsi="Arial Narrow"/>
                <w:sz w:val="22"/>
              </w:rPr>
              <w:t xml:space="preserve"> </w:t>
            </w:r>
            <w:r w:rsidR="00C5524F" w:rsidRPr="00017C77">
              <w:rPr>
                <w:rFonts w:ascii="Arial Narrow" w:hAnsi="Arial Narrow"/>
                <w:sz w:val="22"/>
              </w:rPr>
              <w:t>d</w:t>
            </w:r>
            <w:r w:rsidR="00D00A00" w:rsidRPr="00017C77">
              <w:rPr>
                <w:rFonts w:ascii="Arial Narrow" w:hAnsi="Arial Narrow"/>
                <w:sz w:val="22"/>
              </w:rPr>
              <w:t>eutsche Zentralkomitee zur Bekämpfung der Tuberkulose (DZK)</w:t>
            </w:r>
            <w:r w:rsidR="00E8791A" w:rsidRPr="00017C77">
              <w:rPr>
                <w:rFonts w:ascii="Arial Narrow" w:hAnsi="Arial Narrow"/>
                <w:sz w:val="22"/>
              </w:rPr>
              <w:t xml:space="preserve"> e. V. </w:t>
            </w:r>
            <w:r w:rsidR="00D00A00" w:rsidRPr="00017C77">
              <w:rPr>
                <w:rFonts w:ascii="Arial Narrow" w:hAnsi="Arial Narrow"/>
                <w:sz w:val="22"/>
              </w:rPr>
              <w:t xml:space="preserve">im Auftrag der </w:t>
            </w:r>
            <w:r w:rsidR="00C5524F" w:rsidRPr="00017C77">
              <w:rPr>
                <w:rFonts w:ascii="Arial Narrow" w:hAnsi="Arial Narrow"/>
                <w:sz w:val="22"/>
              </w:rPr>
              <w:t>d</w:t>
            </w:r>
            <w:r w:rsidR="00D00A00" w:rsidRPr="00017C77">
              <w:rPr>
                <w:rFonts w:ascii="Arial Narrow" w:hAnsi="Arial Narrow"/>
                <w:sz w:val="22"/>
              </w:rPr>
              <w:t xml:space="preserve">eutschen Gesellschaft für Pneumologie (DGP) und der </w:t>
            </w:r>
            <w:r w:rsidR="00C5524F" w:rsidRPr="00017C77">
              <w:rPr>
                <w:rFonts w:ascii="Arial Narrow" w:hAnsi="Arial Narrow"/>
                <w:sz w:val="22"/>
              </w:rPr>
              <w:t>d</w:t>
            </w:r>
            <w:r w:rsidR="00D00A00" w:rsidRPr="00017C77">
              <w:rPr>
                <w:rFonts w:ascii="Arial Narrow" w:hAnsi="Arial Narrow"/>
                <w:sz w:val="22"/>
              </w:rPr>
              <w:t>eutschen Gesellschaft für Infektiologie (DGI)</w:t>
            </w:r>
            <w:r w:rsidR="00811890" w:rsidRPr="00017C77">
              <w:rPr>
                <w:rFonts w:ascii="Arial Narrow" w:hAnsi="Arial Narrow"/>
                <w:sz w:val="22"/>
              </w:rPr>
              <w:t xml:space="preserve"> </w:t>
            </w:r>
            <w:r w:rsidR="00E8791A" w:rsidRPr="00017C77">
              <w:rPr>
                <w:rFonts w:ascii="Arial Narrow" w:hAnsi="Arial Narrow"/>
                <w:sz w:val="22"/>
              </w:rPr>
              <w:t>vorformuliert.</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6A24B989" w:rsidR="008E6675" w:rsidRPr="007F255B" w:rsidRDefault="00FE2CB9" w:rsidP="005638EB">
            <w:pPr>
              <w:rPr>
                <w:rFonts w:ascii="Arial Narrow" w:hAnsi="Arial Narrow"/>
                <w:color w:val="00B050"/>
                <w:sz w:val="22"/>
              </w:rPr>
            </w:pPr>
            <w:proofErr w:type="spellStart"/>
            <w:r>
              <w:rPr>
                <w:rFonts w:ascii="Arial Narrow" w:hAnsi="Arial Narrow"/>
                <w:sz w:val="22"/>
              </w:rPr>
              <w:t>Bedaquilin</w:t>
            </w:r>
            <w:proofErr w:type="spellEnd"/>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01701AEF" w:rsidR="008E6675" w:rsidRPr="005638EB" w:rsidRDefault="008D640F" w:rsidP="005638EB">
            <w:pPr>
              <w:rPr>
                <w:rFonts w:ascii="Arial Narrow" w:hAnsi="Arial Narrow"/>
              </w:rPr>
            </w:pPr>
            <w:proofErr w:type="spellStart"/>
            <w:r>
              <w:rPr>
                <w:rFonts w:ascii="Arial Narrow" w:hAnsi="Arial Narrow"/>
                <w:sz w:val="22"/>
              </w:rPr>
              <w:t>Sirturo</w:t>
            </w:r>
            <w:proofErr w:type="spellEnd"/>
            <w:r w:rsidR="00DD60BA" w:rsidRPr="00DD60BA">
              <w:rPr>
                <w:rFonts w:ascii="Arial Narrow" w:hAnsi="Arial Narrow"/>
                <w:sz w:val="22"/>
              </w:rPr>
              <w:t>®</w:t>
            </w:r>
          </w:p>
        </w:tc>
      </w:tr>
    </w:tbl>
    <w:tbl>
      <w:tblPr>
        <w:tblpPr w:leftFromText="141" w:rightFromText="141" w:vertAnchor="page" w:horzAnchor="margin" w:tblpY="5731"/>
        <w:tblOverlap w:val="neve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174"/>
      </w:tblGrid>
      <w:tr w:rsidR="00C759EB" w:rsidRPr="005638EB" w14:paraId="28782B79" w14:textId="77777777" w:rsidTr="00C759EB">
        <w:trPr>
          <w:trHeight w:val="161"/>
        </w:trPr>
        <w:tc>
          <w:tcPr>
            <w:tcW w:w="9174" w:type="dxa"/>
          </w:tcPr>
          <w:p w14:paraId="724A53A7" w14:textId="741D7581" w:rsidR="00C759EB" w:rsidRPr="005638EB" w:rsidRDefault="00C759EB" w:rsidP="00C759EB">
            <w:pPr>
              <w:tabs>
                <w:tab w:val="left" w:pos="7465"/>
              </w:tabs>
              <w:rPr>
                <w:rFonts w:ascii="Arial Narrow" w:hAnsi="Arial Narrow"/>
                <w:b/>
              </w:rPr>
            </w:pPr>
            <w:r>
              <w:rPr>
                <w:rFonts w:ascii="Arial Narrow" w:hAnsi="Arial Narrow"/>
                <w:b/>
                <w:sz w:val="22"/>
              </w:rPr>
              <w:t>Wurde für diese angefragte Untersuchungs- und Behandlungsmethode von Ihrem Krankenhaus bereits vor dem 01.01.202</w:t>
            </w:r>
            <w:r w:rsidR="00EE7917">
              <w:rPr>
                <w:rFonts w:ascii="Arial Narrow" w:hAnsi="Arial Narrow"/>
                <w:b/>
                <w:sz w:val="22"/>
              </w:rPr>
              <w:t>5</w:t>
            </w:r>
            <w:r>
              <w:rPr>
                <w:rFonts w:ascii="Arial Narrow" w:hAnsi="Arial Narrow"/>
                <w:b/>
                <w:sz w:val="22"/>
              </w:rPr>
              <w:t xml:space="preserve"> eine Anfrage gemäß §6 Abs. 2 </w:t>
            </w:r>
            <w:proofErr w:type="spellStart"/>
            <w:r>
              <w:rPr>
                <w:rFonts w:ascii="Arial Narrow" w:hAnsi="Arial Narrow"/>
                <w:b/>
                <w:sz w:val="22"/>
              </w:rPr>
              <w:t>KHEntG</w:t>
            </w:r>
            <w:proofErr w:type="spellEnd"/>
            <w:r>
              <w:rPr>
                <w:rFonts w:ascii="Arial Narrow" w:hAnsi="Arial Narrow"/>
                <w:b/>
                <w:sz w:val="22"/>
              </w:rPr>
              <w:t xml:space="preserve"> an das </w:t>
            </w:r>
            <w:proofErr w:type="spellStart"/>
            <w:r>
              <w:rPr>
                <w:rFonts w:ascii="Arial Narrow" w:hAnsi="Arial Narrow"/>
                <w:b/>
                <w:sz w:val="22"/>
              </w:rPr>
              <w:t>InEK</w:t>
            </w:r>
            <w:proofErr w:type="spellEnd"/>
            <w:r>
              <w:rPr>
                <w:rFonts w:ascii="Arial Narrow" w:hAnsi="Arial Narrow"/>
                <w:b/>
                <w:sz w:val="22"/>
              </w:rPr>
              <w:t xml:space="preserve"> übermittelt?</w:t>
            </w:r>
          </w:p>
        </w:tc>
      </w:tr>
      <w:tr w:rsidR="00C759EB" w:rsidRPr="005638EB" w14:paraId="4BE5BC5B" w14:textId="77777777" w:rsidTr="00C759EB">
        <w:trPr>
          <w:trHeight w:val="169"/>
        </w:trPr>
        <w:tc>
          <w:tcPr>
            <w:tcW w:w="9174" w:type="dxa"/>
          </w:tcPr>
          <w:p w14:paraId="252899E6" w14:textId="77777777" w:rsidR="00C759EB" w:rsidRPr="00ED79AA" w:rsidRDefault="00C759EB" w:rsidP="00C759EB">
            <w:pPr>
              <w:rPr>
                <w:rFonts w:ascii="Arial Narrow" w:hAnsi="Arial Narrow"/>
                <w:sz w:val="22"/>
                <w:highlight w:val="yellow"/>
              </w:rPr>
            </w:pPr>
            <w:r>
              <w:rPr>
                <w:rFonts w:ascii="Arial Narrow" w:hAnsi="Arial Narrow"/>
                <w:sz w:val="22"/>
                <w:highlight w:val="yellow"/>
              </w:rPr>
              <w:t>[</w:t>
            </w:r>
            <w:r w:rsidRPr="00DC6CBD">
              <w:rPr>
                <w:rFonts w:ascii="Arial Narrow" w:hAnsi="Arial Narrow"/>
                <w:sz w:val="22"/>
                <w:highlight w:val="yellow"/>
              </w:rPr>
              <w:t>Ja/nein</w:t>
            </w:r>
            <w:r w:rsidRPr="00ED79AA">
              <w:rPr>
                <w:rFonts w:ascii="Arial Narrow" w:hAnsi="Arial Narrow"/>
                <w:sz w:val="22"/>
                <w:highlight w:val="yellow"/>
              </w:rPr>
              <w:t xml:space="preserve"> ankreuzen. Bei ja Nummer aus Liste auswählen]</w:t>
            </w:r>
          </w:p>
          <w:p w14:paraId="21A4D756" w14:textId="77777777" w:rsidR="00C759EB" w:rsidRPr="005638EB" w:rsidRDefault="00C759EB" w:rsidP="00C759EB">
            <w:pPr>
              <w:rPr>
                <w:rFonts w:ascii="Arial Narrow" w:hAnsi="Arial Narrow"/>
              </w:rPr>
            </w:pPr>
          </w:p>
        </w:tc>
      </w:tr>
    </w:tbl>
    <w:p w14:paraId="5C4D6932" w14:textId="77777777" w:rsidR="004C4F82" w:rsidRDefault="004C4F82"/>
    <w:tbl>
      <w:tblPr>
        <w:tblW w:w="92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46"/>
      </w:tblGrid>
      <w:tr w:rsidR="004C4F82" w:rsidRPr="004C4F82" w14:paraId="6FC43EE4" w14:textId="77777777" w:rsidTr="00CD694D">
        <w:trPr>
          <w:trHeight w:val="158"/>
        </w:trPr>
        <w:tc>
          <w:tcPr>
            <w:tcW w:w="9246"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CD694D">
        <w:trPr>
          <w:trHeight w:val="413"/>
        </w:trPr>
        <w:tc>
          <w:tcPr>
            <w:tcW w:w="9246" w:type="dxa"/>
            <w:tcBorders>
              <w:top w:val="single" w:sz="4" w:space="0" w:color="auto"/>
              <w:left w:val="single" w:sz="4" w:space="0" w:color="auto"/>
              <w:bottom w:val="single" w:sz="4" w:space="0" w:color="auto"/>
              <w:right w:val="single" w:sz="4" w:space="0" w:color="auto"/>
            </w:tcBorders>
          </w:tcPr>
          <w:p w14:paraId="5E4B2A39" w14:textId="69C6C8AF" w:rsidR="004C4F82" w:rsidRPr="00DD60BA" w:rsidRDefault="00EF0964" w:rsidP="008B7669">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4F3F20" w14:paraId="5696BA9D" w14:textId="77777777">
        <w:tc>
          <w:tcPr>
            <w:tcW w:w="9212" w:type="dxa"/>
          </w:tcPr>
          <w:p w14:paraId="079B4A88" w14:textId="77777777" w:rsidR="00B7785C" w:rsidRPr="00F234F6" w:rsidRDefault="00B7785C" w:rsidP="00B7785C">
            <w:pPr>
              <w:rPr>
                <w:rFonts w:ascii="Arial Narrow" w:hAnsi="Arial Narrow"/>
                <w:sz w:val="22"/>
                <w:u w:val="single"/>
              </w:rPr>
            </w:pPr>
            <w:r w:rsidRPr="00F234F6">
              <w:rPr>
                <w:rFonts w:ascii="Arial Narrow" w:hAnsi="Arial Narrow"/>
                <w:sz w:val="22"/>
                <w:u w:val="single"/>
              </w:rPr>
              <w:t>Wirkweise</w:t>
            </w:r>
          </w:p>
          <w:p w14:paraId="6B8708F0" w14:textId="77777777" w:rsidR="00B7785C" w:rsidRDefault="00B7785C" w:rsidP="00B7785C">
            <w:pPr>
              <w:rPr>
                <w:rFonts w:ascii="Arial Narrow" w:hAnsi="Arial Narrow"/>
                <w:sz w:val="22"/>
              </w:rPr>
            </w:pPr>
            <w:proofErr w:type="spellStart"/>
            <w:r>
              <w:rPr>
                <w:rFonts w:ascii="Arial Narrow" w:hAnsi="Arial Narrow"/>
                <w:sz w:val="22"/>
              </w:rPr>
              <w:t>Bedaquilin</w:t>
            </w:r>
            <w:proofErr w:type="spellEnd"/>
            <w:r>
              <w:rPr>
                <w:rFonts w:ascii="Arial Narrow" w:hAnsi="Arial Narrow"/>
                <w:sz w:val="22"/>
              </w:rPr>
              <w:t xml:space="preserve"> ist ein Medikament zur Behandlung der </w:t>
            </w:r>
            <w:r w:rsidRPr="003E60C5">
              <w:rPr>
                <w:rFonts w:ascii="Arial Narrow" w:hAnsi="Arial Narrow"/>
                <w:sz w:val="22"/>
              </w:rPr>
              <w:t>multiresistente</w:t>
            </w:r>
            <w:r>
              <w:rPr>
                <w:rFonts w:ascii="Arial Narrow" w:hAnsi="Arial Narrow"/>
                <w:sz w:val="22"/>
              </w:rPr>
              <w:t>n</w:t>
            </w:r>
            <w:r w:rsidRPr="003E60C5">
              <w:rPr>
                <w:rFonts w:ascii="Arial Narrow" w:hAnsi="Arial Narrow"/>
                <w:sz w:val="22"/>
              </w:rPr>
              <w:t xml:space="preserve"> (MDR) Tuberkulose (TB</w:t>
            </w:r>
            <w:r>
              <w:rPr>
                <w:rFonts w:ascii="Arial Narrow" w:hAnsi="Arial Narrow"/>
                <w:sz w:val="22"/>
              </w:rPr>
              <w:t>). Der Wirkstoff</w:t>
            </w:r>
            <w:r w:rsidRPr="00A31DE8">
              <w:rPr>
                <w:rFonts w:ascii="Arial Narrow" w:hAnsi="Arial Narrow"/>
                <w:sz w:val="22"/>
              </w:rPr>
              <w:t xml:space="preserve"> hemmt spezifisch die mykobakterielle ATP (Adenosin</w:t>
            </w:r>
            <w:r>
              <w:rPr>
                <w:rFonts w:ascii="Arial Narrow" w:hAnsi="Arial Narrow"/>
                <w:sz w:val="22"/>
              </w:rPr>
              <w:t>-</w:t>
            </w:r>
            <w:r w:rsidRPr="00A31DE8">
              <w:rPr>
                <w:rFonts w:ascii="Arial Narrow" w:hAnsi="Arial Narrow"/>
                <w:sz w:val="22"/>
              </w:rPr>
              <w:t>5'-triphosphat)-Synthase</w:t>
            </w:r>
            <w:r>
              <w:rPr>
                <w:rFonts w:ascii="Arial Narrow" w:hAnsi="Arial Narrow"/>
                <w:sz w:val="22"/>
              </w:rPr>
              <w:t xml:space="preserve">. Dieses </w:t>
            </w:r>
            <w:r w:rsidRPr="00A31DE8">
              <w:rPr>
                <w:rFonts w:ascii="Arial Narrow" w:hAnsi="Arial Narrow"/>
                <w:sz w:val="22"/>
              </w:rPr>
              <w:t xml:space="preserve">Enzym </w:t>
            </w:r>
            <w:r>
              <w:rPr>
                <w:rFonts w:ascii="Arial Narrow" w:hAnsi="Arial Narrow"/>
                <w:sz w:val="22"/>
              </w:rPr>
              <w:t xml:space="preserve">ist essenziell </w:t>
            </w:r>
            <w:r w:rsidRPr="00A31DE8">
              <w:rPr>
                <w:rFonts w:ascii="Arial Narrow" w:hAnsi="Arial Narrow"/>
                <w:sz w:val="22"/>
              </w:rPr>
              <w:t xml:space="preserve">zur Energiegewinnung bei Mycobacterium </w:t>
            </w:r>
            <w:proofErr w:type="spellStart"/>
            <w:r w:rsidRPr="00A31DE8">
              <w:rPr>
                <w:rFonts w:ascii="Arial Narrow" w:hAnsi="Arial Narrow"/>
                <w:sz w:val="22"/>
              </w:rPr>
              <w:t>tuberculosis</w:t>
            </w:r>
            <w:proofErr w:type="spellEnd"/>
            <w:r>
              <w:rPr>
                <w:rFonts w:ascii="Arial Narrow" w:hAnsi="Arial Narrow"/>
                <w:sz w:val="22"/>
              </w:rPr>
              <w:t>, das Bakterium, welches Tuberkulose auslöst</w:t>
            </w:r>
            <w:r w:rsidRPr="00A31DE8">
              <w:rPr>
                <w:rFonts w:ascii="Arial Narrow" w:hAnsi="Arial Narrow"/>
                <w:sz w:val="22"/>
              </w:rPr>
              <w:t xml:space="preserve">. </w:t>
            </w:r>
            <w:r>
              <w:rPr>
                <w:rFonts w:ascii="Arial Narrow" w:hAnsi="Arial Narrow"/>
                <w:sz w:val="22"/>
              </w:rPr>
              <w:t>Durch d</w:t>
            </w:r>
            <w:r w:rsidRPr="00A31DE8">
              <w:rPr>
                <w:rFonts w:ascii="Arial Narrow" w:hAnsi="Arial Narrow"/>
                <w:sz w:val="22"/>
              </w:rPr>
              <w:t xml:space="preserve">ie Hemmung der ATP-Synthase </w:t>
            </w:r>
            <w:r>
              <w:rPr>
                <w:rFonts w:ascii="Arial Narrow" w:hAnsi="Arial Narrow"/>
                <w:sz w:val="22"/>
              </w:rPr>
              <w:t>werden</w:t>
            </w:r>
            <w:r w:rsidRPr="00A31DE8">
              <w:rPr>
                <w:rFonts w:ascii="Arial Narrow" w:hAnsi="Arial Narrow"/>
                <w:sz w:val="22"/>
              </w:rPr>
              <w:t xml:space="preserve"> sowohl in sich teilenden als auch in sich nicht teilenden Tuberkulosebakterien</w:t>
            </w:r>
            <w:r>
              <w:rPr>
                <w:rFonts w:ascii="Arial Narrow" w:hAnsi="Arial Narrow"/>
                <w:sz w:val="22"/>
              </w:rPr>
              <w:t xml:space="preserve"> </w:t>
            </w:r>
            <w:r w:rsidRPr="00A31DE8">
              <w:rPr>
                <w:rFonts w:ascii="Arial Narrow" w:hAnsi="Arial Narrow"/>
                <w:sz w:val="22"/>
              </w:rPr>
              <w:t>bakterizide Effekte</w:t>
            </w:r>
            <w:r>
              <w:rPr>
                <w:rFonts w:ascii="Arial Narrow" w:hAnsi="Arial Narrow"/>
                <w:sz w:val="22"/>
              </w:rPr>
              <w:t xml:space="preserve"> erzielt. </w:t>
            </w:r>
          </w:p>
          <w:p w14:paraId="366ECE9B" w14:textId="77777777" w:rsidR="00B7785C" w:rsidRDefault="00B7785C" w:rsidP="00B7785C">
            <w:pPr>
              <w:rPr>
                <w:rFonts w:ascii="Arial Narrow" w:hAnsi="Arial Narrow"/>
                <w:sz w:val="22"/>
              </w:rPr>
            </w:pPr>
          </w:p>
          <w:p w14:paraId="53F8EE0B" w14:textId="77777777" w:rsidR="00B7785C" w:rsidRDefault="00B7785C" w:rsidP="00B7785C">
            <w:pPr>
              <w:rPr>
                <w:rFonts w:ascii="Arial Narrow" w:hAnsi="Arial Narrow"/>
                <w:sz w:val="22"/>
                <w:u w:val="single"/>
              </w:rPr>
            </w:pPr>
            <w:r w:rsidRPr="00E3365F">
              <w:rPr>
                <w:rFonts w:ascii="Arial Narrow" w:hAnsi="Arial Narrow"/>
                <w:sz w:val="22"/>
                <w:u w:val="single"/>
              </w:rPr>
              <w:t>Evidenzlage</w:t>
            </w:r>
          </w:p>
          <w:p w14:paraId="65E49C51" w14:textId="18FDD109" w:rsidR="009B6E54" w:rsidRPr="009B6E54" w:rsidRDefault="00B021C4" w:rsidP="009B6E54">
            <w:pPr>
              <w:rPr>
                <w:rFonts w:ascii="Arial Narrow" w:hAnsi="Arial Narrow"/>
                <w:sz w:val="22"/>
              </w:rPr>
            </w:pPr>
            <w:r w:rsidRPr="00B021C4">
              <w:rPr>
                <w:rFonts w:ascii="Arial Narrow" w:hAnsi="Arial Narrow"/>
                <w:sz w:val="22"/>
              </w:rPr>
              <w:t xml:space="preserve">In einer zentralen Studie wurden Patienten mit pulmonaler multiresistenter Tuberkulose untersucht. Die Patienten erhielten zusätzlich zur Standardkombinationstherapie entweder </w:t>
            </w:r>
            <w:proofErr w:type="spellStart"/>
            <w:r w:rsidRPr="00B021C4">
              <w:rPr>
                <w:rFonts w:ascii="Arial Narrow" w:hAnsi="Arial Narrow"/>
                <w:sz w:val="22"/>
              </w:rPr>
              <w:t>Bedaquilin</w:t>
            </w:r>
            <w:proofErr w:type="spellEnd"/>
            <w:r w:rsidRPr="00B021C4">
              <w:rPr>
                <w:rFonts w:ascii="Arial Narrow" w:hAnsi="Arial Narrow"/>
                <w:sz w:val="22"/>
              </w:rPr>
              <w:t xml:space="preserve"> oder ein Placebo. Nach 24 Wochen zeigte sich, dass 79 % der mit </w:t>
            </w:r>
            <w:proofErr w:type="spellStart"/>
            <w:r w:rsidRPr="00B021C4">
              <w:rPr>
                <w:rFonts w:ascii="Arial Narrow" w:hAnsi="Arial Narrow"/>
                <w:sz w:val="22"/>
              </w:rPr>
              <w:t>Bedaquilin</w:t>
            </w:r>
            <w:proofErr w:type="spellEnd"/>
            <w:r w:rsidRPr="00B021C4">
              <w:rPr>
                <w:rFonts w:ascii="Arial Narrow" w:hAnsi="Arial Narrow"/>
                <w:sz w:val="22"/>
              </w:rPr>
              <w:t xml:space="preserve"> behandelten Patienten eine negative </w:t>
            </w:r>
            <w:proofErr w:type="spellStart"/>
            <w:r w:rsidRPr="00B021C4">
              <w:rPr>
                <w:rFonts w:ascii="Arial Narrow" w:hAnsi="Arial Narrow"/>
                <w:sz w:val="22"/>
              </w:rPr>
              <w:t>Sputumkultur</w:t>
            </w:r>
            <w:proofErr w:type="spellEnd"/>
            <w:r w:rsidRPr="00B021C4">
              <w:rPr>
                <w:rFonts w:ascii="Arial Narrow" w:hAnsi="Arial Narrow"/>
                <w:sz w:val="22"/>
              </w:rPr>
              <w:t xml:space="preserve"> aufwiesen, verglichen mit 58 % in der Placebogruppe. Zudem verkürzte sich die durchschnittliche Zeit bis zur Kulturnegativität unter </w:t>
            </w:r>
            <w:proofErr w:type="spellStart"/>
            <w:r w:rsidRPr="00B021C4">
              <w:rPr>
                <w:rFonts w:ascii="Arial Narrow" w:hAnsi="Arial Narrow"/>
                <w:sz w:val="22"/>
              </w:rPr>
              <w:t>Bedaquilin</w:t>
            </w:r>
            <w:proofErr w:type="spellEnd"/>
            <w:r w:rsidRPr="00B021C4">
              <w:rPr>
                <w:rFonts w:ascii="Arial Narrow" w:hAnsi="Arial Narrow"/>
                <w:sz w:val="22"/>
              </w:rPr>
              <w:t xml:space="preserve"> deutlich (83 Tage</w:t>
            </w:r>
            <w:r w:rsidR="00505234">
              <w:rPr>
                <w:rFonts w:ascii="Arial Narrow" w:hAnsi="Arial Narrow"/>
                <w:sz w:val="22"/>
              </w:rPr>
              <w:t xml:space="preserve"> vs. </w:t>
            </w:r>
            <w:r w:rsidRPr="00B021C4">
              <w:rPr>
                <w:rFonts w:ascii="Arial Narrow" w:hAnsi="Arial Narrow"/>
                <w:sz w:val="22"/>
              </w:rPr>
              <w:t>125 Tagen unter Placebo)</w:t>
            </w:r>
            <w:r>
              <w:rPr>
                <w:rFonts w:ascii="Arial Narrow" w:hAnsi="Arial Narrow"/>
                <w:sz w:val="22"/>
              </w:rPr>
              <w:t xml:space="preserve"> (</w:t>
            </w:r>
            <w:proofErr w:type="spellStart"/>
            <w:r w:rsidR="00505234">
              <w:rPr>
                <w:rFonts w:ascii="Arial Narrow" w:hAnsi="Arial Narrow"/>
                <w:sz w:val="22"/>
              </w:rPr>
              <w:t>Diacon</w:t>
            </w:r>
            <w:proofErr w:type="spellEnd"/>
            <w:r w:rsidR="00505234">
              <w:rPr>
                <w:rFonts w:ascii="Arial Narrow" w:hAnsi="Arial Narrow"/>
                <w:sz w:val="22"/>
              </w:rPr>
              <w:t xml:space="preserve"> et al. 2014). </w:t>
            </w:r>
            <w:r w:rsidR="009B6E54" w:rsidRPr="009B6E54">
              <w:rPr>
                <w:rFonts w:ascii="Arial Narrow" w:hAnsi="Arial Narrow"/>
                <w:sz w:val="22"/>
              </w:rPr>
              <w:t xml:space="preserve">Im Amendment vom 19.09.2023 zur S2k-Leitlinie Tuberkulose im Erwachsenenalter wird vorrangig die Option einer verkürzten MDR-TB-Therapie über mindestens sechs Monate mit der fixen Kombination aus </w:t>
            </w:r>
            <w:proofErr w:type="spellStart"/>
            <w:r w:rsidR="009B6E54" w:rsidRPr="009B6E54">
              <w:rPr>
                <w:rFonts w:ascii="Arial Narrow" w:hAnsi="Arial Narrow"/>
                <w:sz w:val="22"/>
              </w:rPr>
              <w:t>Bedaquilin</w:t>
            </w:r>
            <w:proofErr w:type="spellEnd"/>
            <w:r w:rsidR="009B6E54" w:rsidRPr="009B6E54">
              <w:rPr>
                <w:rFonts w:ascii="Arial Narrow" w:hAnsi="Arial Narrow"/>
                <w:sz w:val="22"/>
              </w:rPr>
              <w:t xml:space="preserve">, </w:t>
            </w:r>
            <w:proofErr w:type="spellStart"/>
            <w:r w:rsidR="009B6E54" w:rsidRPr="009B6E54">
              <w:rPr>
                <w:rFonts w:ascii="Arial Narrow" w:hAnsi="Arial Narrow"/>
                <w:sz w:val="22"/>
              </w:rPr>
              <w:t>Pretomanid</w:t>
            </w:r>
            <w:proofErr w:type="spellEnd"/>
            <w:r w:rsidR="009B6E54" w:rsidRPr="009B6E54">
              <w:rPr>
                <w:rFonts w:ascii="Arial Narrow" w:hAnsi="Arial Narrow"/>
                <w:sz w:val="22"/>
              </w:rPr>
              <w:t xml:space="preserve">, Linezolid und </w:t>
            </w:r>
            <w:proofErr w:type="spellStart"/>
            <w:r w:rsidR="009B6E54" w:rsidRPr="009B6E54">
              <w:rPr>
                <w:rFonts w:ascii="Arial Narrow" w:hAnsi="Arial Narrow"/>
                <w:sz w:val="22"/>
              </w:rPr>
              <w:t>Moxifloxacin</w:t>
            </w:r>
            <w:proofErr w:type="spellEnd"/>
            <w:r w:rsidR="009B6E54" w:rsidRPr="009B6E54">
              <w:rPr>
                <w:rFonts w:ascii="Arial Narrow" w:hAnsi="Arial Narrow"/>
                <w:sz w:val="22"/>
              </w:rPr>
              <w:t xml:space="preserve"> (</w:t>
            </w:r>
            <w:proofErr w:type="spellStart"/>
            <w:r w:rsidR="009B6E54" w:rsidRPr="009B6E54">
              <w:rPr>
                <w:rFonts w:ascii="Arial Narrow" w:hAnsi="Arial Narrow"/>
                <w:sz w:val="22"/>
              </w:rPr>
              <w:t>BPaLM</w:t>
            </w:r>
            <w:proofErr w:type="spellEnd"/>
            <w:r w:rsidR="009B6E54" w:rsidRPr="009B6E54">
              <w:rPr>
                <w:rFonts w:ascii="Arial Narrow" w:hAnsi="Arial Narrow"/>
                <w:sz w:val="22"/>
              </w:rPr>
              <w:t>) empfohlen, sofern die entsprechenden Voraussetzungen erfüllt sind</w:t>
            </w:r>
            <w:r w:rsidR="009B6E54">
              <w:rPr>
                <w:rFonts w:ascii="Arial Narrow" w:hAnsi="Arial Narrow"/>
                <w:sz w:val="22"/>
              </w:rPr>
              <w:t xml:space="preserve"> (Otto-Knapp et al. 2023).</w:t>
            </w:r>
            <w:r w:rsidR="009B6E54" w:rsidRPr="009B6E54">
              <w:rPr>
                <w:rFonts w:ascii="Arial Narrow" w:hAnsi="Arial Narrow"/>
                <w:sz w:val="22"/>
              </w:rPr>
              <w:t xml:space="preserve"> Können diese nicht erfüllt werden, soll weiterhin eine individualisierte MDR-TB-Therapie über in der Regel 18 Monate mit Arzneimitteln aus den WHO-Gruppen A–C erfolgen, wie sie zuvor als Standard galt. </w:t>
            </w:r>
            <w:proofErr w:type="spellStart"/>
            <w:r w:rsidR="009B6E54" w:rsidRPr="009B6E54">
              <w:rPr>
                <w:rFonts w:ascii="Arial Narrow" w:hAnsi="Arial Narrow"/>
                <w:sz w:val="22"/>
              </w:rPr>
              <w:t>Bedaquilin</w:t>
            </w:r>
            <w:proofErr w:type="spellEnd"/>
            <w:r w:rsidR="009B6E54" w:rsidRPr="009B6E54">
              <w:rPr>
                <w:rFonts w:ascii="Arial Narrow" w:hAnsi="Arial Narrow"/>
                <w:sz w:val="22"/>
              </w:rPr>
              <w:t xml:space="preserve"> ist hierbei vorrangig der Medikamentengruppe A zugeordnet </w:t>
            </w:r>
            <w:r w:rsidR="004B4EEF">
              <w:rPr>
                <w:rFonts w:ascii="Arial Narrow" w:hAnsi="Arial Narrow"/>
                <w:sz w:val="22"/>
              </w:rPr>
              <w:t xml:space="preserve">(WHO, 2022). </w:t>
            </w:r>
          </w:p>
          <w:p w14:paraId="0E4DAAFE" w14:textId="77777777" w:rsidR="009B6E54" w:rsidRPr="009B6E54" w:rsidRDefault="009B6E54" w:rsidP="009B6E54">
            <w:pPr>
              <w:rPr>
                <w:rFonts w:ascii="Arial Narrow" w:hAnsi="Arial Narrow"/>
                <w:sz w:val="22"/>
              </w:rPr>
            </w:pPr>
          </w:p>
          <w:p w14:paraId="61C9C8E2" w14:textId="687356A2" w:rsidR="00B7785C" w:rsidRDefault="009B6E54" w:rsidP="00B7785C">
            <w:pPr>
              <w:rPr>
                <w:rFonts w:ascii="Arial Narrow" w:hAnsi="Arial Narrow"/>
                <w:sz w:val="22"/>
              </w:rPr>
            </w:pPr>
            <w:r w:rsidRPr="009B6E54">
              <w:rPr>
                <w:rFonts w:ascii="Arial Narrow" w:hAnsi="Arial Narrow"/>
                <w:sz w:val="22"/>
              </w:rPr>
              <w:t xml:space="preserve">Auch die WHO empfiehlt die </w:t>
            </w:r>
            <w:proofErr w:type="spellStart"/>
            <w:r w:rsidRPr="009B6E54">
              <w:rPr>
                <w:rFonts w:ascii="Arial Narrow" w:hAnsi="Arial Narrow"/>
                <w:sz w:val="22"/>
              </w:rPr>
              <w:t>BPaLM</w:t>
            </w:r>
            <w:proofErr w:type="spellEnd"/>
            <w:r w:rsidRPr="009B6E54">
              <w:rPr>
                <w:rFonts w:ascii="Arial Narrow" w:hAnsi="Arial Narrow"/>
                <w:sz w:val="22"/>
              </w:rPr>
              <w:t>-Kombination, deren Evidenz auf der randomisierten, kontrollierten Phase-II/III-Studie TB-PRACTECAL beruht</w:t>
            </w:r>
            <w:r>
              <w:rPr>
                <w:rFonts w:ascii="Arial Narrow" w:hAnsi="Arial Narrow"/>
                <w:sz w:val="22"/>
              </w:rPr>
              <w:t xml:space="preserve"> (</w:t>
            </w:r>
            <w:proofErr w:type="spellStart"/>
            <w:r w:rsidR="00B1598D" w:rsidRPr="00B1598D">
              <w:rPr>
                <w:rFonts w:ascii="Arial Narrow" w:hAnsi="Arial Narrow"/>
                <w:sz w:val="22"/>
              </w:rPr>
              <w:t>Nyang'wa</w:t>
            </w:r>
            <w:proofErr w:type="spellEnd"/>
            <w:r w:rsidR="00B1598D">
              <w:rPr>
                <w:rFonts w:ascii="Arial Narrow" w:hAnsi="Arial Narrow"/>
                <w:sz w:val="22"/>
              </w:rPr>
              <w:t xml:space="preserve"> et al. 2022,</w:t>
            </w:r>
            <w:r w:rsidR="00B1598D">
              <w:t xml:space="preserve"> </w:t>
            </w:r>
            <w:proofErr w:type="spellStart"/>
            <w:r w:rsidR="00B1598D" w:rsidRPr="00B1598D">
              <w:rPr>
                <w:rFonts w:ascii="Arial Narrow" w:hAnsi="Arial Narrow"/>
                <w:sz w:val="22"/>
              </w:rPr>
              <w:t>Nyang'wa</w:t>
            </w:r>
            <w:proofErr w:type="spellEnd"/>
            <w:r w:rsidR="00B1598D">
              <w:rPr>
                <w:rFonts w:ascii="Arial Narrow" w:hAnsi="Arial Narrow"/>
                <w:sz w:val="22"/>
              </w:rPr>
              <w:t xml:space="preserve"> et al. 2024)</w:t>
            </w:r>
            <w:r w:rsidRPr="009B6E54">
              <w:rPr>
                <w:rFonts w:ascii="Arial Narrow" w:hAnsi="Arial Narrow"/>
                <w:sz w:val="22"/>
              </w:rPr>
              <w:t xml:space="preserve">. In dieser konnte unter der sechsmonatigen </w:t>
            </w:r>
            <w:proofErr w:type="spellStart"/>
            <w:r w:rsidRPr="009B6E54">
              <w:rPr>
                <w:rFonts w:ascii="Arial Narrow" w:hAnsi="Arial Narrow"/>
                <w:sz w:val="22"/>
              </w:rPr>
              <w:t>BPaLM</w:t>
            </w:r>
            <w:proofErr w:type="spellEnd"/>
            <w:r w:rsidRPr="009B6E54">
              <w:rPr>
                <w:rFonts w:ascii="Arial Narrow" w:hAnsi="Arial Narrow"/>
                <w:sz w:val="22"/>
              </w:rPr>
              <w:t xml:space="preserve">-Therapie sowohl eine hohe Wirksamkeit als auch ein günstiges Sicherheitsprofil nachgewiesen werden: 89 % der Patienten in der </w:t>
            </w:r>
            <w:proofErr w:type="spellStart"/>
            <w:r w:rsidRPr="009B6E54">
              <w:rPr>
                <w:rFonts w:ascii="Arial Narrow" w:hAnsi="Arial Narrow"/>
                <w:sz w:val="22"/>
              </w:rPr>
              <w:t>BPaLM</w:t>
            </w:r>
            <w:proofErr w:type="spellEnd"/>
            <w:r w:rsidRPr="009B6E54">
              <w:rPr>
                <w:rFonts w:ascii="Arial Narrow" w:hAnsi="Arial Narrow"/>
                <w:sz w:val="22"/>
              </w:rPr>
              <w:t>-Gruppe wurden geheilt, gegenüber 52 % unter der bis 2022 geltenden Standardtherapie. Zudem traten schwerwiegende unerwünschte Arzneimittelwirkungen deutlich seltener auf (19 % vs. 59 %).</w:t>
            </w:r>
          </w:p>
          <w:p w14:paraId="152C80E9" w14:textId="77777777" w:rsidR="00B7785C" w:rsidRPr="00B97095" w:rsidRDefault="00B7785C" w:rsidP="00B7785C">
            <w:pPr>
              <w:rPr>
                <w:rFonts w:ascii="Arial Narrow" w:hAnsi="Arial Narrow"/>
                <w:sz w:val="22"/>
                <w:u w:val="single"/>
              </w:rPr>
            </w:pPr>
            <w:r w:rsidRPr="00B97095">
              <w:rPr>
                <w:rFonts w:ascii="Arial Narrow" w:hAnsi="Arial Narrow"/>
                <w:sz w:val="22"/>
                <w:u w:val="single"/>
              </w:rPr>
              <w:t xml:space="preserve">Anwendung und Dosierung </w:t>
            </w:r>
          </w:p>
          <w:p w14:paraId="675A3951" w14:textId="77777777" w:rsidR="00B7785C" w:rsidRDefault="00B7785C" w:rsidP="00B7785C">
            <w:pPr>
              <w:rPr>
                <w:rFonts w:ascii="Arial Narrow" w:hAnsi="Arial Narrow"/>
                <w:sz w:val="22"/>
              </w:rPr>
            </w:pPr>
            <w:proofErr w:type="spellStart"/>
            <w:r>
              <w:rPr>
                <w:rFonts w:ascii="Arial Narrow" w:hAnsi="Arial Narrow"/>
                <w:sz w:val="22"/>
              </w:rPr>
              <w:t>Bedaquilin</w:t>
            </w:r>
            <w:proofErr w:type="spellEnd"/>
            <w:r>
              <w:rPr>
                <w:rFonts w:ascii="Arial Narrow" w:hAnsi="Arial Narrow"/>
                <w:sz w:val="22"/>
              </w:rPr>
              <w:t xml:space="preserve"> liegt in Tablettenform vor mit je 20 mg oder 100 mg </w:t>
            </w:r>
            <w:proofErr w:type="spellStart"/>
            <w:r>
              <w:rPr>
                <w:rFonts w:ascii="Arial Narrow" w:hAnsi="Arial Narrow"/>
                <w:sz w:val="22"/>
              </w:rPr>
              <w:t>Bedaquilin</w:t>
            </w:r>
            <w:proofErr w:type="spellEnd"/>
            <w:r>
              <w:rPr>
                <w:rFonts w:ascii="Arial Narrow" w:hAnsi="Arial Narrow"/>
                <w:sz w:val="22"/>
              </w:rPr>
              <w:t xml:space="preserve"> pro Tablette.</w:t>
            </w:r>
          </w:p>
          <w:p w14:paraId="0B55CDFE" w14:textId="23E0947F" w:rsidR="00B7785C" w:rsidRPr="006C6D26" w:rsidRDefault="00B7785C" w:rsidP="00B7785C">
            <w:pPr>
              <w:rPr>
                <w:rFonts w:ascii="Arial Narrow" w:hAnsi="Arial Narrow"/>
                <w:sz w:val="22"/>
              </w:rPr>
            </w:pPr>
            <w:r w:rsidRPr="006C6D26">
              <w:rPr>
                <w:rFonts w:ascii="Arial Narrow" w:hAnsi="Arial Narrow"/>
                <w:sz w:val="22"/>
              </w:rPr>
              <w:t>Erwachsene (18 Jahre und älter</w:t>
            </w:r>
            <w:r w:rsidR="008D22A3">
              <w:rPr>
                <w:rFonts w:ascii="Arial Narrow" w:hAnsi="Arial Narrow"/>
                <w:sz w:val="22"/>
              </w:rPr>
              <w:t>):</w:t>
            </w:r>
            <w:r w:rsidRPr="006C6D26">
              <w:rPr>
                <w:rFonts w:ascii="Arial Narrow" w:hAnsi="Arial Narrow"/>
                <w:sz w:val="22"/>
              </w:rPr>
              <w:t xml:space="preserve"> </w:t>
            </w:r>
          </w:p>
          <w:p w14:paraId="75CC3C85" w14:textId="77777777" w:rsidR="00B7785C" w:rsidRPr="006C6D26" w:rsidRDefault="00B7785C" w:rsidP="00B7785C">
            <w:pPr>
              <w:rPr>
                <w:rFonts w:ascii="Arial Narrow" w:hAnsi="Arial Narrow"/>
                <w:sz w:val="22"/>
              </w:rPr>
            </w:pPr>
            <w:r w:rsidRPr="006C6D26">
              <w:rPr>
                <w:rFonts w:ascii="Arial Narrow" w:hAnsi="Arial Narrow"/>
                <w:sz w:val="22"/>
              </w:rPr>
              <w:t>400 mg oral</w:t>
            </w:r>
            <w:r>
              <w:rPr>
                <w:rFonts w:ascii="Arial Narrow" w:hAnsi="Arial Narrow"/>
                <w:sz w:val="22"/>
              </w:rPr>
              <w:t>,</w:t>
            </w:r>
            <w:r w:rsidRPr="006C6D26">
              <w:rPr>
                <w:rFonts w:ascii="Arial Narrow" w:hAnsi="Arial Narrow"/>
                <w:sz w:val="22"/>
              </w:rPr>
              <w:t xml:space="preserve"> einmal täglich in Woche 1 bis 2 und 200 mg oral</w:t>
            </w:r>
            <w:r>
              <w:rPr>
                <w:rFonts w:ascii="Arial Narrow" w:hAnsi="Arial Narrow"/>
                <w:sz w:val="22"/>
              </w:rPr>
              <w:t>,</w:t>
            </w:r>
            <w:r w:rsidRPr="006C6D26">
              <w:rPr>
                <w:rFonts w:ascii="Arial Narrow" w:hAnsi="Arial Narrow"/>
                <w:sz w:val="22"/>
              </w:rPr>
              <w:t xml:space="preserve"> dreimal pro Woche in Woche 3 bis 24.</w:t>
            </w:r>
          </w:p>
          <w:p w14:paraId="2A8C5AF4" w14:textId="77777777" w:rsidR="00915BC2" w:rsidRDefault="00915BC2" w:rsidP="00B7785C">
            <w:pPr>
              <w:rPr>
                <w:rFonts w:ascii="Arial Narrow" w:hAnsi="Arial Narrow"/>
                <w:sz w:val="22"/>
              </w:rPr>
            </w:pPr>
          </w:p>
          <w:p w14:paraId="03AF651A" w14:textId="3DAA293E" w:rsidR="00C6560D" w:rsidRDefault="00C6560D" w:rsidP="00B7785C">
            <w:pPr>
              <w:rPr>
                <w:rFonts w:ascii="Arial Narrow" w:hAnsi="Arial Narrow"/>
                <w:sz w:val="22"/>
              </w:rPr>
            </w:pPr>
            <w:r w:rsidRPr="00C6560D">
              <w:rPr>
                <w:rFonts w:ascii="Arial Narrow" w:hAnsi="Arial Narrow"/>
                <w:sz w:val="22"/>
              </w:rPr>
              <w:t>Empfohlene Dosierung von</w:t>
            </w:r>
            <w:r>
              <w:rPr>
                <w:rFonts w:ascii="Arial Narrow" w:hAnsi="Arial Narrow"/>
                <w:sz w:val="22"/>
              </w:rPr>
              <w:t xml:space="preserve"> </w:t>
            </w:r>
            <w:r w:rsidRPr="00C6560D">
              <w:rPr>
                <w:rFonts w:ascii="Arial Narrow" w:hAnsi="Arial Narrow"/>
                <w:sz w:val="22"/>
              </w:rPr>
              <w:t>bei Kindern und Jugendlichen (2 Jahre bis unter 18 Jahre)</w:t>
            </w:r>
          </w:p>
          <w:p w14:paraId="196BB563" w14:textId="6192EF62" w:rsidR="00DF6345" w:rsidRPr="006C6D26" w:rsidRDefault="00DF6345" w:rsidP="00DF6345">
            <w:pPr>
              <w:rPr>
                <w:rFonts w:ascii="Arial Narrow" w:hAnsi="Arial Narrow"/>
                <w:sz w:val="22"/>
              </w:rPr>
            </w:pPr>
            <w:r w:rsidRPr="006C6D26">
              <w:rPr>
                <w:rFonts w:ascii="Arial Narrow" w:hAnsi="Arial Narrow"/>
                <w:sz w:val="22"/>
              </w:rPr>
              <w:t xml:space="preserve">Kinder und Jugendliche mit einem Körpergewicht von </w:t>
            </w:r>
            <w:r w:rsidR="004A3667">
              <w:rPr>
                <w:rFonts w:ascii="Arial Narrow" w:hAnsi="Arial Narrow"/>
                <w:sz w:val="22"/>
              </w:rPr>
              <w:t>7</w:t>
            </w:r>
            <w:r w:rsidRPr="006C6D26">
              <w:rPr>
                <w:rFonts w:ascii="Arial Narrow" w:hAnsi="Arial Narrow"/>
                <w:sz w:val="22"/>
              </w:rPr>
              <w:t xml:space="preserve"> kg bis weniger als </w:t>
            </w:r>
            <w:r w:rsidR="004A3667">
              <w:rPr>
                <w:rFonts w:ascii="Arial Narrow" w:hAnsi="Arial Narrow"/>
                <w:sz w:val="22"/>
              </w:rPr>
              <w:t>1</w:t>
            </w:r>
            <w:r w:rsidRPr="006C6D26">
              <w:rPr>
                <w:rFonts w:ascii="Arial Narrow" w:hAnsi="Arial Narrow"/>
                <w:sz w:val="22"/>
              </w:rPr>
              <w:t>0 kg:</w:t>
            </w:r>
          </w:p>
          <w:p w14:paraId="4CD781C8" w14:textId="69085D5B" w:rsidR="00DF6345" w:rsidRDefault="004A3667" w:rsidP="00DF6345">
            <w:pPr>
              <w:rPr>
                <w:rFonts w:ascii="Arial Narrow" w:hAnsi="Arial Narrow"/>
                <w:sz w:val="22"/>
              </w:rPr>
            </w:pPr>
            <w:r>
              <w:rPr>
                <w:rFonts w:ascii="Arial Narrow" w:hAnsi="Arial Narrow"/>
                <w:sz w:val="22"/>
              </w:rPr>
              <w:t>80</w:t>
            </w:r>
            <w:r w:rsidR="00DF6345" w:rsidRPr="006C6D26">
              <w:rPr>
                <w:rFonts w:ascii="Arial Narrow" w:hAnsi="Arial Narrow"/>
                <w:sz w:val="22"/>
              </w:rPr>
              <w:t xml:space="preserve"> mg oral</w:t>
            </w:r>
            <w:r w:rsidR="00DF6345">
              <w:rPr>
                <w:rFonts w:ascii="Arial Narrow" w:hAnsi="Arial Narrow"/>
                <w:sz w:val="22"/>
              </w:rPr>
              <w:t>,</w:t>
            </w:r>
            <w:r w:rsidR="00DF6345" w:rsidRPr="006C6D26">
              <w:rPr>
                <w:rFonts w:ascii="Arial Narrow" w:hAnsi="Arial Narrow"/>
                <w:sz w:val="22"/>
              </w:rPr>
              <w:t xml:space="preserve"> einmal täglich und </w:t>
            </w:r>
            <w:r>
              <w:rPr>
                <w:rFonts w:ascii="Arial Narrow" w:hAnsi="Arial Narrow"/>
                <w:sz w:val="22"/>
              </w:rPr>
              <w:t>40</w:t>
            </w:r>
            <w:r w:rsidR="00DF6345" w:rsidRPr="006C6D26">
              <w:rPr>
                <w:rFonts w:ascii="Arial Narrow" w:hAnsi="Arial Narrow"/>
                <w:sz w:val="22"/>
              </w:rPr>
              <w:t xml:space="preserve"> mg oral</w:t>
            </w:r>
            <w:r w:rsidR="00DF6345">
              <w:rPr>
                <w:rFonts w:ascii="Arial Narrow" w:hAnsi="Arial Narrow"/>
                <w:sz w:val="22"/>
              </w:rPr>
              <w:t>,</w:t>
            </w:r>
            <w:r w:rsidR="00DF6345" w:rsidRPr="006C6D26">
              <w:rPr>
                <w:rFonts w:ascii="Arial Narrow" w:hAnsi="Arial Narrow"/>
                <w:sz w:val="22"/>
              </w:rPr>
              <w:t xml:space="preserve"> dreimal pro Woche</w:t>
            </w:r>
          </w:p>
          <w:p w14:paraId="714E4513" w14:textId="3B75CB1B" w:rsidR="00DF6345" w:rsidRPr="006C6D26" w:rsidRDefault="00DF6345" w:rsidP="00DF6345">
            <w:pPr>
              <w:rPr>
                <w:rFonts w:ascii="Arial Narrow" w:hAnsi="Arial Narrow"/>
                <w:sz w:val="22"/>
              </w:rPr>
            </w:pPr>
            <w:r w:rsidRPr="006C6D26">
              <w:rPr>
                <w:rFonts w:ascii="Arial Narrow" w:hAnsi="Arial Narrow"/>
                <w:sz w:val="22"/>
              </w:rPr>
              <w:t xml:space="preserve">Kinder und Jugendliche mit einem Körpergewicht von </w:t>
            </w:r>
            <w:r w:rsidR="00F90509">
              <w:rPr>
                <w:rFonts w:ascii="Arial Narrow" w:hAnsi="Arial Narrow"/>
                <w:sz w:val="22"/>
              </w:rPr>
              <w:t>10</w:t>
            </w:r>
            <w:r w:rsidRPr="006C6D26">
              <w:rPr>
                <w:rFonts w:ascii="Arial Narrow" w:hAnsi="Arial Narrow"/>
                <w:sz w:val="22"/>
              </w:rPr>
              <w:t xml:space="preserve"> kg bis weniger als </w:t>
            </w:r>
            <w:r w:rsidR="00F90509">
              <w:rPr>
                <w:rFonts w:ascii="Arial Narrow" w:hAnsi="Arial Narrow"/>
                <w:sz w:val="22"/>
              </w:rPr>
              <w:t>15</w:t>
            </w:r>
            <w:r w:rsidRPr="006C6D26">
              <w:rPr>
                <w:rFonts w:ascii="Arial Narrow" w:hAnsi="Arial Narrow"/>
                <w:sz w:val="22"/>
              </w:rPr>
              <w:t xml:space="preserve"> kg:</w:t>
            </w:r>
          </w:p>
          <w:p w14:paraId="5E294BD0" w14:textId="3B0E7ECD" w:rsidR="00DF6345" w:rsidRDefault="00F90509" w:rsidP="00DF6345">
            <w:pPr>
              <w:rPr>
                <w:rFonts w:ascii="Arial Narrow" w:hAnsi="Arial Narrow"/>
                <w:sz w:val="22"/>
              </w:rPr>
            </w:pPr>
            <w:r>
              <w:rPr>
                <w:rFonts w:ascii="Arial Narrow" w:hAnsi="Arial Narrow"/>
                <w:sz w:val="22"/>
              </w:rPr>
              <w:t>120</w:t>
            </w:r>
            <w:r w:rsidR="00DF6345" w:rsidRPr="006C6D26">
              <w:rPr>
                <w:rFonts w:ascii="Arial Narrow" w:hAnsi="Arial Narrow"/>
                <w:sz w:val="22"/>
              </w:rPr>
              <w:t xml:space="preserve"> mg oral</w:t>
            </w:r>
            <w:r w:rsidR="00DF6345">
              <w:rPr>
                <w:rFonts w:ascii="Arial Narrow" w:hAnsi="Arial Narrow"/>
                <w:sz w:val="22"/>
              </w:rPr>
              <w:t>,</w:t>
            </w:r>
            <w:r w:rsidR="00DF6345" w:rsidRPr="006C6D26">
              <w:rPr>
                <w:rFonts w:ascii="Arial Narrow" w:hAnsi="Arial Narrow"/>
                <w:sz w:val="22"/>
              </w:rPr>
              <w:t xml:space="preserve"> einmal täglich und </w:t>
            </w:r>
            <w:r>
              <w:rPr>
                <w:rFonts w:ascii="Arial Narrow" w:hAnsi="Arial Narrow"/>
                <w:sz w:val="22"/>
              </w:rPr>
              <w:t>60</w:t>
            </w:r>
            <w:r w:rsidR="00DF6345" w:rsidRPr="006C6D26">
              <w:rPr>
                <w:rFonts w:ascii="Arial Narrow" w:hAnsi="Arial Narrow"/>
                <w:sz w:val="22"/>
              </w:rPr>
              <w:t xml:space="preserve"> mg oral</w:t>
            </w:r>
            <w:r w:rsidR="00DF6345">
              <w:rPr>
                <w:rFonts w:ascii="Arial Narrow" w:hAnsi="Arial Narrow"/>
                <w:sz w:val="22"/>
              </w:rPr>
              <w:t>,</w:t>
            </w:r>
            <w:r w:rsidR="00DF6345" w:rsidRPr="006C6D26">
              <w:rPr>
                <w:rFonts w:ascii="Arial Narrow" w:hAnsi="Arial Narrow"/>
                <w:sz w:val="22"/>
              </w:rPr>
              <w:t xml:space="preserve"> dreimal pro Woche</w:t>
            </w:r>
          </w:p>
          <w:p w14:paraId="373AC3D0" w14:textId="3E6F3F2D" w:rsidR="00B7785C" w:rsidRPr="006C6D26" w:rsidRDefault="00B7785C" w:rsidP="00B7785C">
            <w:pPr>
              <w:rPr>
                <w:rFonts w:ascii="Arial Narrow" w:hAnsi="Arial Narrow"/>
                <w:sz w:val="22"/>
              </w:rPr>
            </w:pPr>
            <w:r w:rsidRPr="006C6D26">
              <w:rPr>
                <w:rFonts w:ascii="Arial Narrow" w:hAnsi="Arial Narrow"/>
                <w:sz w:val="22"/>
              </w:rPr>
              <w:t>Kinder und Jugendliche mit einem Körpergewicht von 15 kg bis weniger als 20 kg:</w:t>
            </w:r>
          </w:p>
          <w:p w14:paraId="6476C206" w14:textId="77777777" w:rsidR="00B7785C" w:rsidRPr="006C6D26" w:rsidRDefault="00B7785C" w:rsidP="00B7785C">
            <w:pPr>
              <w:rPr>
                <w:rFonts w:ascii="Arial Narrow" w:hAnsi="Arial Narrow"/>
                <w:sz w:val="22"/>
              </w:rPr>
            </w:pPr>
            <w:r w:rsidRPr="006C6D26">
              <w:rPr>
                <w:rFonts w:ascii="Arial Narrow" w:hAnsi="Arial Narrow"/>
                <w:sz w:val="22"/>
              </w:rPr>
              <w:t>160 mg oral</w:t>
            </w:r>
            <w:r>
              <w:rPr>
                <w:rFonts w:ascii="Arial Narrow" w:hAnsi="Arial Narrow"/>
                <w:sz w:val="22"/>
              </w:rPr>
              <w:t>,</w:t>
            </w:r>
            <w:r w:rsidRPr="006C6D26">
              <w:rPr>
                <w:rFonts w:ascii="Arial Narrow" w:hAnsi="Arial Narrow"/>
                <w:sz w:val="22"/>
              </w:rPr>
              <w:t xml:space="preserve"> einmal täglich in Woche 1 bis 2 und 80 mg</w:t>
            </w:r>
            <w:r>
              <w:rPr>
                <w:rFonts w:ascii="Arial Narrow" w:hAnsi="Arial Narrow"/>
                <w:sz w:val="22"/>
              </w:rPr>
              <w:t>,</w:t>
            </w:r>
            <w:r w:rsidRPr="006C6D26">
              <w:rPr>
                <w:rFonts w:ascii="Arial Narrow" w:hAnsi="Arial Narrow"/>
                <w:sz w:val="22"/>
              </w:rPr>
              <w:t xml:space="preserve"> dreimal pro Woche in Woche 3 bis 24</w:t>
            </w:r>
          </w:p>
          <w:p w14:paraId="3AFE5A9D" w14:textId="1865D016" w:rsidR="00B7785C" w:rsidRPr="006C6D26" w:rsidRDefault="00B7785C" w:rsidP="00B7785C">
            <w:pPr>
              <w:rPr>
                <w:rFonts w:ascii="Arial Narrow" w:hAnsi="Arial Narrow"/>
                <w:sz w:val="22"/>
              </w:rPr>
            </w:pPr>
            <w:r w:rsidRPr="006C6D26">
              <w:rPr>
                <w:rFonts w:ascii="Arial Narrow" w:hAnsi="Arial Narrow"/>
                <w:sz w:val="22"/>
              </w:rPr>
              <w:t>Kinder und Jugendliche mit einem Körpergewicht von 20 kg bis weniger als 30 kg:</w:t>
            </w:r>
          </w:p>
          <w:p w14:paraId="70F3A237" w14:textId="77777777" w:rsidR="00D259A7" w:rsidRDefault="00DF6345" w:rsidP="00B7785C">
            <w:pPr>
              <w:rPr>
                <w:rFonts w:ascii="Arial Narrow" w:hAnsi="Arial Narrow"/>
                <w:sz w:val="22"/>
              </w:rPr>
            </w:pPr>
            <w:r>
              <w:rPr>
                <w:rFonts w:ascii="Arial Narrow" w:hAnsi="Arial Narrow"/>
                <w:sz w:val="22"/>
              </w:rPr>
              <w:t>2</w:t>
            </w:r>
            <w:r w:rsidR="00B7785C" w:rsidRPr="006C6D26">
              <w:rPr>
                <w:rFonts w:ascii="Arial Narrow" w:hAnsi="Arial Narrow"/>
                <w:sz w:val="22"/>
              </w:rPr>
              <w:t>00 mg oral</w:t>
            </w:r>
            <w:r w:rsidR="00B7785C">
              <w:rPr>
                <w:rFonts w:ascii="Arial Narrow" w:hAnsi="Arial Narrow"/>
                <w:sz w:val="22"/>
              </w:rPr>
              <w:t>,</w:t>
            </w:r>
            <w:r w:rsidR="00B7785C" w:rsidRPr="006C6D26">
              <w:rPr>
                <w:rFonts w:ascii="Arial Narrow" w:hAnsi="Arial Narrow"/>
                <w:sz w:val="22"/>
              </w:rPr>
              <w:t xml:space="preserve"> einmal täglich und </w:t>
            </w:r>
            <w:r>
              <w:rPr>
                <w:rFonts w:ascii="Arial Narrow" w:hAnsi="Arial Narrow"/>
                <w:sz w:val="22"/>
              </w:rPr>
              <w:t>1</w:t>
            </w:r>
            <w:r w:rsidR="00B7785C" w:rsidRPr="006C6D26">
              <w:rPr>
                <w:rFonts w:ascii="Arial Narrow" w:hAnsi="Arial Narrow"/>
                <w:sz w:val="22"/>
              </w:rPr>
              <w:t>00 mg oral</w:t>
            </w:r>
            <w:r w:rsidR="00B7785C">
              <w:rPr>
                <w:rFonts w:ascii="Arial Narrow" w:hAnsi="Arial Narrow"/>
                <w:sz w:val="22"/>
              </w:rPr>
              <w:t>,</w:t>
            </w:r>
            <w:r w:rsidR="00B7785C" w:rsidRPr="006C6D26">
              <w:rPr>
                <w:rFonts w:ascii="Arial Narrow" w:hAnsi="Arial Narrow"/>
                <w:sz w:val="22"/>
              </w:rPr>
              <w:t xml:space="preserve"> dreimal pro Woche</w:t>
            </w:r>
          </w:p>
          <w:p w14:paraId="0E86F39A" w14:textId="14E3464D" w:rsidR="00DF6345" w:rsidRPr="006C6D26" w:rsidRDefault="00DF6345" w:rsidP="00DF6345">
            <w:pPr>
              <w:rPr>
                <w:rFonts w:ascii="Arial Narrow" w:hAnsi="Arial Narrow"/>
                <w:sz w:val="22"/>
              </w:rPr>
            </w:pPr>
            <w:r w:rsidRPr="006C6D26">
              <w:rPr>
                <w:rFonts w:ascii="Arial Narrow" w:hAnsi="Arial Narrow"/>
                <w:sz w:val="22"/>
              </w:rPr>
              <w:t xml:space="preserve">Kinder und Jugendliche mit einem Körpergewicht von </w:t>
            </w:r>
            <w:r w:rsidR="00DB7488">
              <w:rPr>
                <w:rFonts w:ascii="Arial Narrow" w:hAnsi="Arial Narrow"/>
                <w:sz w:val="22"/>
              </w:rPr>
              <w:t>30</w:t>
            </w:r>
            <w:r w:rsidRPr="006C6D26">
              <w:rPr>
                <w:rFonts w:ascii="Arial Narrow" w:hAnsi="Arial Narrow"/>
                <w:sz w:val="22"/>
              </w:rPr>
              <w:t xml:space="preserve"> kg </w:t>
            </w:r>
            <w:r w:rsidR="00DB7488">
              <w:rPr>
                <w:rFonts w:ascii="Arial Narrow" w:hAnsi="Arial Narrow"/>
                <w:sz w:val="22"/>
              </w:rPr>
              <w:t>oder mehr</w:t>
            </w:r>
            <w:r w:rsidRPr="006C6D26">
              <w:rPr>
                <w:rFonts w:ascii="Arial Narrow" w:hAnsi="Arial Narrow"/>
                <w:sz w:val="22"/>
              </w:rPr>
              <w:t>:</w:t>
            </w:r>
          </w:p>
          <w:p w14:paraId="0AF79188" w14:textId="6966B28F" w:rsidR="00DF6345" w:rsidRPr="004F72C0" w:rsidRDefault="00DB7488" w:rsidP="00DF6345">
            <w:pPr>
              <w:rPr>
                <w:rFonts w:ascii="Arial Narrow" w:hAnsi="Arial Narrow"/>
                <w:sz w:val="22"/>
                <w:u w:val="single"/>
              </w:rPr>
            </w:pPr>
            <w:r>
              <w:rPr>
                <w:rFonts w:ascii="Arial Narrow" w:hAnsi="Arial Narrow"/>
                <w:sz w:val="22"/>
              </w:rPr>
              <w:t>4</w:t>
            </w:r>
            <w:r w:rsidR="00DF6345" w:rsidRPr="006C6D26">
              <w:rPr>
                <w:rFonts w:ascii="Arial Narrow" w:hAnsi="Arial Narrow"/>
                <w:sz w:val="22"/>
              </w:rPr>
              <w:t>00 mg oral</w:t>
            </w:r>
            <w:r w:rsidR="00DF6345">
              <w:rPr>
                <w:rFonts w:ascii="Arial Narrow" w:hAnsi="Arial Narrow"/>
                <w:sz w:val="22"/>
              </w:rPr>
              <w:t>,</w:t>
            </w:r>
            <w:r w:rsidR="00DF6345" w:rsidRPr="006C6D26">
              <w:rPr>
                <w:rFonts w:ascii="Arial Narrow" w:hAnsi="Arial Narrow"/>
                <w:sz w:val="22"/>
              </w:rPr>
              <w:t xml:space="preserve"> einmal täglich und </w:t>
            </w:r>
            <w:r>
              <w:rPr>
                <w:rFonts w:ascii="Arial Narrow" w:hAnsi="Arial Narrow"/>
                <w:sz w:val="22"/>
              </w:rPr>
              <w:t>2</w:t>
            </w:r>
            <w:r w:rsidR="00DF6345" w:rsidRPr="006C6D26">
              <w:rPr>
                <w:rFonts w:ascii="Arial Narrow" w:hAnsi="Arial Narrow"/>
                <w:sz w:val="22"/>
              </w:rPr>
              <w:t>00 mg oral</w:t>
            </w:r>
            <w:r w:rsidR="00DF6345">
              <w:rPr>
                <w:rFonts w:ascii="Arial Narrow" w:hAnsi="Arial Narrow"/>
                <w:sz w:val="22"/>
              </w:rPr>
              <w:t>,</w:t>
            </w:r>
            <w:r w:rsidR="00DF6345" w:rsidRPr="006C6D26">
              <w:rPr>
                <w:rFonts w:ascii="Arial Narrow" w:hAnsi="Arial Narrow"/>
                <w:sz w:val="22"/>
              </w:rPr>
              <w:t xml:space="preserve"> dreimal pro Woche</w:t>
            </w:r>
          </w:p>
        </w:tc>
      </w:tr>
    </w:tbl>
    <w:p w14:paraId="6F81F951" w14:textId="77777777" w:rsidR="008E6675" w:rsidRPr="00F532D9"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177A3B41" w14:textId="77777777" w:rsidR="00E45221" w:rsidRPr="006354B6" w:rsidRDefault="00E45221" w:rsidP="00E45221">
            <w:pPr>
              <w:rPr>
                <w:rFonts w:ascii="Arial Narrow" w:hAnsi="Arial Narrow"/>
                <w:sz w:val="22"/>
              </w:rPr>
            </w:pPr>
            <w:r>
              <w:rPr>
                <w:rFonts w:ascii="Arial Narrow" w:hAnsi="Arial Narrow"/>
                <w:sz w:val="22"/>
              </w:rPr>
              <w:t>[</w:t>
            </w:r>
            <w:r w:rsidRPr="0041411B">
              <w:rPr>
                <w:rFonts w:ascii="Arial Narrow" w:hAnsi="Arial Narrow"/>
                <w:sz w:val="22"/>
                <w:highlight w:val="yellow"/>
              </w:rPr>
              <w:t xml:space="preserve">Bitte ankreuzen: Derzeit sind keine </w:t>
            </w:r>
            <w:proofErr w:type="spellStart"/>
            <w:r w:rsidRPr="0041411B">
              <w:rPr>
                <w:rFonts w:ascii="Arial Narrow" w:hAnsi="Arial Narrow"/>
                <w:sz w:val="22"/>
                <w:highlight w:val="yellow"/>
              </w:rPr>
              <w:t>Prozedurencodes</w:t>
            </w:r>
            <w:proofErr w:type="spellEnd"/>
            <w:r w:rsidRPr="0041411B">
              <w:rPr>
                <w:rFonts w:ascii="Arial Narrow" w:hAnsi="Arial Narrow"/>
                <w:sz w:val="22"/>
                <w:highlight w:val="yellow"/>
              </w:rPr>
              <w:t xml:space="preserve"> (OPS) verfügbar.</w:t>
            </w:r>
            <w:r>
              <w:rPr>
                <w:rFonts w:ascii="Arial Narrow" w:hAnsi="Arial Narrow"/>
                <w:sz w:val="22"/>
              </w:rPr>
              <w:t>]</w:t>
            </w:r>
          </w:p>
          <w:p w14:paraId="276EB151" w14:textId="0ADE5482" w:rsidR="00CC7E5F" w:rsidRPr="006354B6" w:rsidRDefault="00CC7E5F" w:rsidP="00435583">
            <w:pPr>
              <w:rPr>
                <w:rFonts w:ascii="Arial Narrow" w:hAnsi="Arial Narrow"/>
                <w:sz w:val="22"/>
              </w:rPr>
            </w:pPr>
          </w:p>
        </w:tc>
      </w:tr>
    </w:tbl>
    <w:p w14:paraId="63A2C327" w14:textId="77777777" w:rsidR="00DC6CBD" w:rsidRPr="006354B6" w:rsidRDefault="00DC6CBD" w:rsidP="00EE0D0B">
      <w:pPr>
        <w:jc w:val="cente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182EB8">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E33633" w:rsidRPr="005638EB" w14:paraId="4B250263" w14:textId="77777777" w:rsidTr="00182EB8">
        <w:tc>
          <w:tcPr>
            <w:tcW w:w="9212" w:type="dxa"/>
          </w:tcPr>
          <w:p w14:paraId="6D0DF2B5" w14:textId="21426602" w:rsidR="00E33633" w:rsidRDefault="00E33633" w:rsidP="0036178C">
            <w:pPr>
              <w:rPr>
                <w:rFonts w:ascii="Arial Narrow" w:hAnsi="Arial Narrow"/>
                <w:b/>
                <w:sz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4CA65374" w14:textId="77777777" w:rsidR="00B7785C" w:rsidRDefault="00B7785C" w:rsidP="00B7785C">
            <w:pPr>
              <w:rPr>
                <w:rFonts w:ascii="Arial Narrow" w:hAnsi="Arial Narrow" w:cstheme="minorHAnsi"/>
                <w:sz w:val="22"/>
                <w:u w:val="single"/>
              </w:rPr>
            </w:pPr>
          </w:p>
          <w:p w14:paraId="6916485F" w14:textId="6D81FDAC" w:rsidR="00B00A97" w:rsidRPr="00B00A97" w:rsidRDefault="00B32A46" w:rsidP="00B32A46">
            <w:pPr>
              <w:rPr>
                <w:rFonts w:ascii="Arial Narrow" w:hAnsi="Arial Narrow" w:cstheme="minorHAnsi"/>
                <w:sz w:val="22"/>
                <w:szCs w:val="22"/>
              </w:rPr>
            </w:pPr>
            <w:proofErr w:type="spellStart"/>
            <w:r>
              <w:rPr>
                <w:rFonts w:ascii="Arial Narrow" w:hAnsi="Arial Narrow" w:cstheme="minorHAnsi"/>
                <w:sz w:val="22"/>
                <w:szCs w:val="22"/>
              </w:rPr>
              <w:t>Bedaquilin</w:t>
            </w:r>
            <w:proofErr w:type="spellEnd"/>
            <w:r>
              <w:rPr>
                <w:rFonts w:ascii="Arial Narrow" w:hAnsi="Arial Narrow" w:cstheme="minorHAnsi"/>
                <w:sz w:val="22"/>
                <w:szCs w:val="22"/>
              </w:rPr>
              <w:t xml:space="preserve"> </w:t>
            </w:r>
            <w:r w:rsidR="00B00A97" w:rsidRPr="00B00A97">
              <w:rPr>
                <w:rFonts w:ascii="Arial Narrow" w:hAnsi="Arial Narrow" w:cstheme="minorHAnsi"/>
                <w:sz w:val="22"/>
                <w:szCs w:val="22"/>
              </w:rPr>
              <w:t xml:space="preserve">wird bei </w:t>
            </w:r>
            <w:r>
              <w:rPr>
                <w:rFonts w:ascii="Arial Narrow" w:hAnsi="Arial Narrow" w:cstheme="minorHAnsi"/>
                <w:sz w:val="22"/>
                <w:szCs w:val="22"/>
              </w:rPr>
              <w:t>erwachsenen Patientinnen und Patienten</w:t>
            </w:r>
            <w:r w:rsidR="00B00A97" w:rsidRPr="00B00A97">
              <w:rPr>
                <w:rFonts w:ascii="Arial Narrow" w:hAnsi="Arial Narrow" w:cstheme="minorHAnsi"/>
                <w:sz w:val="22"/>
                <w:szCs w:val="22"/>
              </w:rPr>
              <w:t xml:space="preserve"> mit pulmonaler Tuberkulose (TB)</w:t>
            </w:r>
          </w:p>
          <w:p w14:paraId="09E312AC" w14:textId="0D5E43E0" w:rsidR="00B7785C" w:rsidRDefault="00B00A97" w:rsidP="00B7785C">
            <w:pPr>
              <w:rPr>
                <w:rFonts w:ascii="Arial Narrow" w:hAnsi="Arial Narrow" w:cstheme="minorHAnsi"/>
                <w:sz w:val="22"/>
                <w:szCs w:val="22"/>
              </w:rPr>
            </w:pPr>
            <w:r w:rsidRPr="00B00A97">
              <w:rPr>
                <w:rFonts w:ascii="Arial Narrow" w:hAnsi="Arial Narrow" w:cstheme="minorHAnsi"/>
                <w:sz w:val="22"/>
                <w:szCs w:val="22"/>
              </w:rPr>
              <w:t xml:space="preserve">infolge einer Infektion mit Mycobacterium </w:t>
            </w:r>
            <w:proofErr w:type="spellStart"/>
            <w:r w:rsidRPr="00B00A97">
              <w:rPr>
                <w:rFonts w:ascii="Arial Narrow" w:hAnsi="Arial Narrow" w:cstheme="minorHAnsi"/>
                <w:sz w:val="22"/>
                <w:szCs w:val="22"/>
              </w:rPr>
              <w:t>tuberculosis</w:t>
            </w:r>
            <w:proofErr w:type="spellEnd"/>
            <w:r w:rsidRPr="00B00A97">
              <w:rPr>
                <w:rFonts w:ascii="Arial Narrow" w:hAnsi="Arial Narrow" w:cstheme="minorHAnsi"/>
                <w:sz w:val="22"/>
                <w:szCs w:val="22"/>
              </w:rPr>
              <w:t xml:space="preserve"> mit Resistenz</w:t>
            </w:r>
            <w:r w:rsidR="00BD4C80">
              <w:rPr>
                <w:rFonts w:ascii="Arial Narrow" w:hAnsi="Arial Narrow" w:cstheme="minorHAnsi"/>
                <w:sz w:val="22"/>
                <w:szCs w:val="22"/>
              </w:rPr>
              <w:t xml:space="preserve"> oder Unverträglichkeit</w:t>
            </w:r>
            <w:r w:rsidRPr="00B00A97">
              <w:rPr>
                <w:rFonts w:ascii="Arial Narrow" w:hAnsi="Arial Narrow" w:cstheme="minorHAnsi"/>
                <w:sz w:val="22"/>
                <w:szCs w:val="22"/>
              </w:rPr>
              <w:t xml:space="preserve"> gegen mindestens Rifampicin</w:t>
            </w:r>
            <w:r w:rsidR="00120273">
              <w:rPr>
                <w:rFonts w:ascii="Arial Narrow" w:hAnsi="Arial Narrow" w:cstheme="minorHAnsi"/>
                <w:sz w:val="22"/>
                <w:szCs w:val="22"/>
              </w:rPr>
              <w:t xml:space="preserve"> </w:t>
            </w:r>
            <w:r w:rsidRPr="00B00A97">
              <w:rPr>
                <w:rFonts w:ascii="Arial Narrow" w:hAnsi="Arial Narrow" w:cstheme="minorHAnsi"/>
                <w:sz w:val="22"/>
                <w:szCs w:val="22"/>
              </w:rPr>
              <w:t>und Isoniazid als Teil einer geeigneten Kombinationstherapie angewendet.</w:t>
            </w:r>
          </w:p>
          <w:p w14:paraId="2291587E" w14:textId="77777777" w:rsidR="00B7785C" w:rsidRDefault="00B7785C" w:rsidP="00B7785C">
            <w:pPr>
              <w:autoSpaceDE w:val="0"/>
              <w:autoSpaceDN w:val="0"/>
              <w:adjustRightInd w:val="0"/>
              <w:rPr>
                <w:rFonts w:ascii="Arial Narrow" w:hAnsi="Arial Narrow" w:cstheme="minorHAnsi"/>
                <w:sz w:val="22"/>
                <w:szCs w:val="22"/>
              </w:rPr>
            </w:pPr>
          </w:p>
          <w:p w14:paraId="43BD3424" w14:textId="6856FEF2" w:rsidR="00B7785C" w:rsidRPr="00AE6DD8" w:rsidRDefault="00B7785C" w:rsidP="00B7785C">
            <w:pPr>
              <w:autoSpaceDE w:val="0"/>
              <w:autoSpaceDN w:val="0"/>
              <w:adjustRightInd w:val="0"/>
              <w:rPr>
                <w:rFonts w:ascii="Arial Narrow" w:hAnsi="Arial Narrow" w:cstheme="minorHAnsi"/>
                <w:sz w:val="22"/>
                <w:u w:val="single"/>
              </w:rPr>
            </w:pPr>
            <w:proofErr w:type="spellStart"/>
            <w:r>
              <w:rPr>
                <w:rFonts w:ascii="Arial Narrow" w:hAnsi="Arial Narrow" w:cstheme="minorHAnsi"/>
                <w:sz w:val="22"/>
                <w:szCs w:val="22"/>
              </w:rPr>
              <w:t>Bedaquilin</w:t>
            </w:r>
            <w:proofErr w:type="spellEnd"/>
            <w:r>
              <w:rPr>
                <w:rFonts w:ascii="Arial Narrow" w:hAnsi="Arial Narrow" w:cstheme="minorHAnsi"/>
                <w:sz w:val="22"/>
                <w:szCs w:val="22"/>
              </w:rPr>
              <w:t xml:space="preserve"> </w:t>
            </w:r>
            <w:r w:rsidR="00145E7F">
              <w:rPr>
                <w:rFonts w:ascii="Arial Narrow" w:hAnsi="Arial Narrow" w:cstheme="minorHAnsi"/>
                <w:sz w:val="22"/>
                <w:szCs w:val="22"/>
              </w:rPr>
              <w:t xml:space="preserve">wird </w:t>
            </w:r>
            <w:r>
              <w:rPr>
                <w:rFonts w:ascii="Arial Narrow" w:hAnsi="Arial Narrow" w:cstheme="minorHAnsi"/>
                <w:sz w:val="22"/>
                <w:szCs w:val="22"/>
              </w:rPr>
              <w:t>nach deutschen Empfehlungen</w:t>
            </w:r>
            <w:r w:rsidR="00145E7F">
              <w:rPr>
                <w:rFonts w:ascii="Arial Narrow" w:hAnsi="Arial Narrow" w:cstheme="minorHAnsi"/>
                <w:sz w:val="22"/>
                <w:szCs w:val="22"/>
              </w:rPr>
              <w:t xml:space="preserve"> und den Empfehlungen der WHO</w:t>
            </w:r>
            <w:r>
              <w:rPr>
                <w:rFonts w:ascii="Arial Narrow" w:hAnsi="Arial Narrow" w:cstheme="minorHAnsi"/>
                <w:sz w:val="22"/>
                <w:szCs w:val="22"/>
              </w:rPr>
              <w:t xml:space="preserve"> </w:t>
            </w:r>
            <w:r w:rsidR="0024039E">
              <w:rPr>
                <w:rFonts w:ascii="Arial Narrow" w:hAnsi="Arial Narrow" w:cstheme="minorHAnsi"/>
                <w:sz w:val="22"/>
                <w:szCs w:val="22"/>
              </w:rPr>
              <w:t xml:space="preserve">als wirksamstes Medikament </w:t>
            </w:r>
            <w:r>
              <w:rPr>
                <w:rFonts w:ascii="Arial Narrow" w:hAnsi="Arial Narrow" w:cstheme="minorHAnsi"/>
                <w:sz w:val="22"/>
                <w:szCs w:val="22"/>
              </w:rPr>
              <w:t xml:space="preserve">bei allen </w:t>
            </w:r>
            <w:r w:rsidR="0024039E">
              <w:rPr>
                <w:rFonts w:ascii="Arial Narrow" w:hAnsi="Arial Narrow" w:cstheme="minorHAnsi"/>
                <w:sz w:val="22"/>
                <w:szCs w:val="22"/>
              </w:rPr>
              <w:t xml:space="preserve">Fällen von MDR-TB und Rifampicin-Resistenz </w:t>
            </w:r>
            <w:r w:rsidR="00145E7F">
              <w:rPr>
                <w:rFonts w:ascii="Arial Narrow" w:hAnsi="Arial Narrow" w:cstheme="minorHAnsi"/>
                <w:sz w:val="22"/>
                <w:szCs w:val="22"/>
              </w:rPr>
              <w:t xml:space="preserve">in der Kombination </w:t>
            </w:r>
            <w:proofErr w:type="spellStart"/>
            <w:r w:rsidR="00145E7F">
              <w:rPr>
                <w:rFonts w:ascii="Arial Narrow" w:hAnsi="Arial Narrow" w:cstheme="minorHAnsi"/>
                <w:sz w:val="22"/>
                <w:szCs w:val="22"/>
              </w:rPr>
              <w:t>BPalM</w:t>
            </w:r>
            <w:proofErr w:type="spellEnd"/>
            <w:r w:rsidR="00145E7F">
              <w:rPr>
                <w:rFonts w:ascii="Arial Narrow" w:hAnsi="Arial Narrow" w:cstheme="minorHAnsi"/>
                <w:sz w:val="22"/>
                <w:szCs w:val="22"/>
              </w:rPr>
              <w:t xml:space="preserve"> und in der individuell zusammengestellten MDR-TB-Therapie </w:t>
            </w:r>
            <w:r w:rsidR="0024039E">
              <w:rPr>
                <w:rFonts w:ascii="Arial Narrow" w:hAnsi="Arial Narrow" w:cstheme="minorHAnsi"/>
                <w:sz w:val="22"/>
                <w:szCs w:val="22"/>
              </w:rPr>
              <w:t xml:space="preserve">angewendet. </w:t>
            </w:r>
            <w:r w:rsidR="00145E7F">
              <w:rPr>
                <w:rFonts w:ascii="Arial Narrow" w:hAnsi="Arial Narrow" w:cstheme="minorHAnsi"/>
                <w:sz w:val="22"/>
                <w:szCs w:val="22"/>
              </w:rPr>
              <w:t xml:space="preserve">Die empfehlungsgerechte Anwendung in der Praxis geht damit über die Zulassungsindikationen hinaus. </w:t>
            </w:r>
          </w:p>
          <w:p w14:paraId="606B75B1" w14:textId="5E5B594E" w:rsidR="00B7785C" w:rsidRPr="007F255B" w:rsidRDefault="00B7785C" w:rsidP="00DC1A32">
            <w:pPr>
              <w:rPr>
                <w:rFonts w:ascii="Arial Narrow" w:hAnsi="Arial Narrow"/>
                <w:sz w:val="22"/>
                <w:szCs w:val="22"/>
              </w:rPr>
            </w:pP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rsidTr="00895F6B">
        <w:trPr>
          <w:trHeight w:val="334"/>
        </w:trPr>
        <w:tc>
          <w:tcPr>
            <w:tcW w:w="9212" w:type="dxa"/>
          </w:tcPr>
          <w:p w14:paraId="67F29127" w14:textId="5C6F5286" w:rsidR="00A93162" w:rsidRDefault="003C0389" w:rsidP="003C0389">
            <w:pPr>
              <w:rPr>
                <w:rFonts w:ascii="Arial Narrow" w:hAnsi="Arial Narrow"/>
                <w:sz w:val="22"/>
                <w:szCs w:val="22"/>
              </w:rPr>
            </w:pPr>
            <w:r>
              <w:rPr>
                <w:rFonts w:ascii="Arial Narrow" w:hAnsi="Arial Narrow"/>
                <w:sz w:val="22"/>
                <w:szCs w:val="22"/>
              </w:rPr>
              <w:t>Die</w:t>
            </w:r>
            <w:r w:rsidR="00A93162">
              <w:rPr>
                <w:rFonts w:ascii="Arial Narrow" w:hAnsi="Arial Narrow"/>
                <w:sz w:val="22"/>
                <w:szCs w:val="22"/>
              </w:rPr>
              <w:t xml:space="preserve"> neue Methode / Therapiekombination </w:t>
            </w:r>
            <w:proofErr w:type="spellStart"/>
            <w:r w:rsidR="00A93162" w:rsidRPr="00FF4550">
              <w:rPr>
                <w:rFonts w:ascii="Arial Narrow" w:hAnsi="Arial Narrow"/>
                <w:sz w:val="22"/>
              </w:rPr>
              <w:t>BPaLM</w:t>
            </w:r>
            <w:proofErr w:type="spellEnd"/>
            <w:r w:rsidR="00A93162">
              <w:rPr>
                <w:rFonts w:ascii="Arial Narrow" w:hAnsi="Arial Narrow"/>
                <w:sz w:val="22"/>
                <w:szCs w:val="22"/>
              </w:rPr>
              <w:t xml:space="preserve">, in welcher </w:t>
            </w:r>
            <w:proofErr w:type="spellStart"/>
            <w:r w:rsidR="0024039E">
              <w:rPr>
                <w:rFonts w:ascii="Arial Narrow" w:hAnsi="Arial Narrow"/>
                <w:sz w:val="22"/>
                <w:szCs w:val="22"/>
              </w:rPr>
              <w:t>Bedaquilin</w:t>
            </w:r>
            <w:proofErr w:type="spellEnd"/>
            <w:r w:rsidR="00A93162">
              <w:rPr>
                <w:rFonts w:ascii="Arial Narrow" w:hAnsi="Arial Narrow"/>
                <w:sz w:val="22"/>
                <w:szCs w:val="22"/>
              </w:rPr>
              <w:t xml:space="preserve"> essentieller Bestandteil ist, löst den </w:t>
            </w:r>
            <w:r>
              <w:rPr>
                <w:rFonts w:ascii="Arial Narrow" w:hAnsi="Arial Narrow"/>
                <w:sz w:val="22"/>
                <w:szCs w:val="22"/>
              </w:rPr>
              <w:t xml:space="preserve">bisher in den Leitlinien </w:t>
            </w:r>
            <w:r w:rsidR="00A93162">
              <w:rPr>
                <w:rFonts w:ascii="Arial Narrow" w:hAnsi="Arial Narrow"/>
                <w:sz w:val="22"/>
                <w:szCs w:val="22"/>
              </w:rPr>
              <w:t>empfohlenen Standard</w:t>
            </w:r>
            <w:r>
              <w:rPr>
                <w:rFonts w:ascii="Arial Narrow" w:hAnsi="Arial Narrow"/>
                <w:sz w:val="22"/>
                <w:szCs w:val="22"/>
              </w:rPr>
              <w:t xml:space="preserve"> </w:t>
            </w:r>
            <w:r w:rsidR="00A93162">
              <w:rPr>
                <w:rFonts w:ascii="Arial Narrow" w:hAnsi="Arial Narrow"/>
                <w:sz w:val="22"/>
                <w:szCs w:val="22"/>
              </w:rPr>
              <w:t xml:space="preserve">der </w:t>
            </w:r>
            <w:r w:rsidR="00A93162" w:rsidRPr="003C0389">
              <w:rPr>
                <w:rFonts w:ascii="Arial Narrow" w:hAnsi="Arial Narrow"/>
                <w:sz w:val="22"/>
                <w:szCs w:val="22"/>
              </w:rPr>
              <w:t>MDR-TB-Therapie</w:t>
            </w:r>
            <w:r w:rsidR="00A93162">
              <w:rPr>
                <w:rFonts w:ascii="Arial Narrow" w:hAnsi="Arial Narrow"/>
                <w:sz w:val="22"/>
                <w:szCs w:val="22"/>
              </w:rPr>
              <w:t xml:space="preserve">, </w:t>
            </w:r>
            <w:r>
              <w:rPr>
                <w:rFonts w:ascii="Arial Narrow" w:hAnsi="Arial Narrow"/>
                <w:sz w:val="22"/>
                <w:szCs w:val="22"/>
              </w:rPr>
              <w:t>e</w:t>
            </w:r>
            <w:r w:rsidRPr="003C0389">
              <w:rPr>
                <w:rFonts w:ascii="Arial Narrow" w:hAnsi="Arial Narrow"/>
                <w:sz w:val="22"/>
                <w:szCs w:val="22"/>
              </w:rPr>
              <w:t>ine</w:t>
            </w:r>
            <w:r>
              <w:rPr>
                <w:rFonts w:ascii="Arial Narrow" w:hAnsi="Arial Narrow"/>
                <w:sz w:val="22"/>
                <w:szCs w:val="22"/>
              </w:rPr>
              <w:t>r</w:t>
            </w:r>
            <w:r w:rsidRPr="003C0389">
              <w:rPr>
                <w:rFonts w:ascii="Arial Narrow" w:hAnsi="Arial Narrow"/>
                <w:sz w:val="22"/>
                <w:szCs w:val="22"/>
              </w:rPr>
              <w:t xml:space="preserve"> individualisierte</w:t>
            </w:r>
            <w:r w:rsidR="00CB465F">
              <w:rPr>
                <w:rFonts w:ascii="Arial Narrow" w:hAnsi="Arial Narrow"/>
                <w:sz w:val="22"/>
                <w:szCs w:val="22"/>
              </w:rPr>
              <w:t>n</w:t>
            </w:r>
            <w:r w:rsidRPr="003C0389">
              <w:rPr>
                <w:rFonts w:ascii="Arial Narrow" w:hAnsi="Arial Narrow"/>
                <w:sz w:val="22"/>
                <w:szCs w:val="22"/>
              </w:rPr>
              <w:t xml:space="preserve"> MDR-TB-Therapie über im Regelfall 18 Monate mit Medikamenten </w:t>
            </w:r>
            <w:r w:rsidR="00A93162">
              <w:rPr>
                <w:rFonts w:ascii="Arial Narrow" w:hAnsi="Arial Narrow"/>
                <w:sz w:val="22"/>
                <w:szCs w:val="22"/>
              </w:rPr>
              <w:t xml:space="preserve">der WHO-Gruppen A-C, ab. </w:t>
            </w:r>
          </w:p>
          <w:p w14:paraId="3EC3722F" w14:textId="75478185" w:rsidR="008E6675" w:rsidRPr="00C11458" w:rsidRDefault="00A93162" w:rsidP="003C0389">
            <w:pPr>
              <w:rPr>
                <w:rFonts w:ascii="Arial Narrow" w:hAnsi="Arial Narrow"/>
                <w:color w:val="00B050"/>
                <w:sz w:val="22"/>
                <w:szCs w:val="22"/>
              </w:rPr>
            </w:pPr>
            <w:r>
              <w:rPr>
                <w:rFonts w:ascii="Arial Narrow" w:hAnsi="Arial Narrow"/>
                <w:sz w:val="22"/>
                <w:szCs w:val="22"/>
              </w:rPr>
              <w:t xml:space="preserve">Der alte Standard der </w:t>
            </w:r>
            <w:r w:rsidRPr="003C0389">
              <w:rPr>
                <w:rFonts w:ascii="Arial Narrow" w:hAnsi="Arial Narrow"/>
                <w:sz w:val="22"/>
                <w:szCs w:val="22"/>
              </w:rPr>
              <w:t>individualisierte</w:t>
            </w:r>
            <w:r>
              <w:rPr>
                <w:rFonts w:ascii="Arial Narrow" w:hAnsi="Arial Narrow"/>
                <w:sz w:val="22"/>
                <w:szCs w:val="22"/>
              </w:rPr>
              <w:t>n</w:t>
            </w:r>
            <w:r w:rsidRPr="003C0389">
              <w:rPr>
                <w:rFonts w:ascii="Arial Narrow" w:hAnsi="Arial Narrow"/>
                <w:sz w:val="22"/>
                <w:szCs w:val="22"/>
              </w:rPr>
              <w:t xml:space="preserve"> MDR-TB-Therapie </w:t>
            </w:r>
            <w:r w:rsidR="003A5F97">
              <w:rPr>
                <w:rFonts w:ascii="Arial Narrow" w:hAnsi="Arial Narrow"/>
                <w:sz w:val="22"/>
                <w:szCs w:val="22"/>
              </w:rPr>
              <w:t xml:space="preserve">sollte leitliniengerecht </w:t>
            </w:r>
            <w:r>
              <w:rPr>
                <w:rFonts w:ascii="Arial Narrow" w:hAnsi="Arial Narrow"/>
                <w:sz w:val="22"/>
                <w:szCs w:val="22"/>
              </w:rPr>
              <w:t xml:space="preserve">nur noch in definierten Ausnahmesituationen zum Einsatz </w:t>
            </w:r>
            <w:r w:rsidR="003A5F97">
              <w:rPr>
                <w:rFonts w:ascii="Arial Narrow" w:hAnsi="Arial Narrow"/>
                <w:sz w:val="22"/>
                <w:szCs w:val="22"/>
              </w:rPr>
              <w:t xml:space="preserve">kommen </w:t>
            </w:r>
            <w:r w:rsidR="003E7CA8">
              <w:rPr>
                <w:rFonts w:ascii="Arial Narrow" w:hAnsi="Arial Narrow"/>
                <w:sz w:val="22"/>
                <w:szCs w:val="22"/>
              </w:rPr>
              <w:t xml:space="preserve">(Otto-Knapp et al. 2023) </w:t>
            </w:r>
            <w:r w:rsidR="003A5F97">
              <w:rPr>
                <w:rFonts w:ascii="Arial Narrow" w:hAnsi="Arial Narrow"/>
                <w:sz w:val="22"/>
                <w:szCs w:val="22"/>
              </w:rPr>
              <w:t>z.B. bei zusätzlichen Resistenzen (z.B. prä-XDR) oder ausgedehnter Erkrankung</w:t>
            </w:r>
            <w:r>
              <w:rPr>
                <w:rFonts w:ascii="Arial Narrow" w:hAnsi="Arial Narrow"/>
                <w:sz w:val="22"/>
                <w:szCs w:val="22"/>
              </w:rPr>
              <w:t>.</w:t>
            </w:r>
            <w:r w:rsidR="00145E7F">
              <w:rPr>
                <w:rFonts w:ascii="Arial Narrow" w:hAnsi="Arial Narrow"/>
                <w:sz w:val="22"/>
                <w:szCs w:val="22"/>
              </w:rPr>
              <w:t xml:space="preserve"> Auch für diese längere Therapie</w:t>
            </w:r>
            <w:r w:rsidR="00CB465F">
              <w:rPr>
                <w:rFonts w:ascii="Arial Narrow" w:hAnsi="Arial Narrow"/>
                <w:sz w:val="22"/>
                <w:szCs w:val="22"/>
              </w:rPr>
              <w:t>a</w:t>
            </w:r>
            <w:r w:rsidR="00145E7F">
              <w:rPr>
                <w:rFonts w:ascii="Arial Narrow" w:hAnsi="Arial Narrow"/>
                <w:sz w:val="22"/>
                <w:szCs w:val="22"/>
              </w:rPr>
              <w:t xml:space="preserve">lternative wird in der Regel </w:t>
            </w:r>
            <w:proofErr w:type="spellStart"/>
            <w:r w:rsidR="00145E7F">
              <w:rPr>
                <w:rFonts w:ascii="Arial Narrow" w:hAnsi="Arial Narrow"/>
                <w:sz w:val="22"/>
                <w:szCs w:val="22"/>
              </w:rPr>
              <w:t>Bedaquilin</w:t>
            </w:r>
            <w:proofErr w:type="spellEnd"/>
            <w:r w:rsidR="00145E7F">
              <w:rPr>
                <w:rFonts w:ascii="Arial Narrow" w:hAnsi="Arial Narrow"/>
                <w:sz w:val="22"/>
                <w:szCs w:val="22"/>
              </w:rPr>
              <w:t xml:space="preserve"> verwendet.</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39240061" w14:textId="641F3E21" w:rsidR="0000751F" w:rsidRDefault="00A93162" w:rsidP="00C11458">
            <w:pPr>
              <w:rPr>
                <w:rFonts w:ascii="Arial Narrow" w:hAnsi="Arial Narrow"/>
                <w:sz w:val="22"/>
              </w:rPr>
            </w:pPr>
            <w:r>
              <w:rPr>
                <w:rFonts w:ascii="Arial Narrow" w:hAnsi="Arial Narrow"/>
                <w:sz w:val="22"/>
              </w:rPr>
              <w:t>Die</w:t>
            </w:r>
            <w:r w:rsidRPr="00A93162">
              <w:rPr>
                <w:rFonts w:ascii="Arial Narrow" w:hAnsi="Arial Narrow"/>
                <w:sz w:val="22"/>
              </w:rPr>
              <w:t xml:space="preserve"> </w:t>
            </w:r>
            <w:r>
              <w:rPr>
                <w:rFonts w:ascii="Arial Narrow" w:hAnsi="Arial Narrow"/>
                <w:sz w:val="22"/>
              </w:rPr>
              <w:t xml:space="preserve">Wirksamkeit und Verträglichkeit der </w:t>
            </w:r>
            <w:r w:rsidRPr="00A93162">
              <w:rPr>
                <w:rFonts w:ascii="Arial Narrow" w:hAnsi="Arial Narrow"/>
                <w:sz w:val="22"/>
              </w:rPr>
              <w:t xml:space="preserve">Kombinationstherapie mit </w:t>
            </w:r>
            <w:proofErr w:type="spellStart"/>
            <w:r w:rsidRPr="00A93162">
              <w:rPr>
                <w:rFonts w:ascii="Arial Narrow" w:hAnsi="Arial Narrow"/>
                <w:sz w:val="22"/>
              </w:rPr>
              <w:t>Bedaquilin</w:t>
            </w:r>
            <w:proofErr w:type="spellEnd"/>
            <w:r w:rsidRPr="00A93162">
              <w:rPr>
                <w:rFonts w:ascii="Arial Narrow" w:hAnsi="Arial Narrow"/>
                <w:sz w:val="22"/>
              </w:rPr>
              <w:t xml:space="preserve">, </w:t>
            </w:r>
            <w:proofErr w:type="spellStart"/>
            <w:r w:rsidRPr="00A93162">
              <w:rPr>
                <w:rFonts w:ascii="Arial Narrow" w:hAnsi="Arial Narrow"/>
                <w:sz w:val="22"/>
              </w:rPr>
              <w:t>Pretomanid</w:t>
            </w:r>
            <w:proofErr w:type="spellEnd"/>
            <w:r w:rsidRPr="00A93162">
              <w:rPr>
                <w:rFonts w:ascii="Arial Narrow" w:hAnsi="Arial Narrow"/>
                <w:sz w:val="22"/>
              </w:rPr>
              <w:t xml:space="preserve">, Linezolid und </w:t>
            </w:r>
            <w:proofErr w:type="spellStart"/>
            <w:r w:rsidRPr="00A93162">
              <w:rPr>
                <w:rFonts w:ascii="Arial Narrow" w:hAnsi="Arial Narrow"/>
                <w:sz w:val="22"/>
              </w:rPr>
              <w:t>Moxifloxacin</w:t>
            </w:r>
            <w:proofErr w:type="spellEnd"/>
            <w:r w:rsidRPr="00A93162">
              <w:rPr>
                <w:rFonts w:ascii="Arial Narrow" w:hAnsi="Arial Narrow"/>
                <w:sz w:val="22"/>
              </w:rPr>
              <w:t xml:space="preserve"> (</w:t>
            </w:r>
            <w:proofErr w:type="spellStart"/>
            <w:r w:rsidRPr="00A93162">
              <w:rPr>
                <w:rFonts w:ascii="Arial Narrow" w:hAnsi="Arial Narrow"/>
                <w:sz w:val="22"/>
              </w:rPr>
              <w:t>BPaLM</w:t>
            </w:r>
            <w:proofErr w:type="spellEnd"/>
            <w:r w:rsidRPr="00A93162">
              <w:rPr>
                <w:rFonts w:ascii="Arial Narrow" w:hAnsi="Arial Narrow"/>
                <w:sz w:val="22"/>
              </w:rPr>
              <w:t>)</w:t>
            </w:r>
            <w:r>
              <w:rPr>
                <w:rFonts w:ascii="Arial Narrow" w:hAnsi="Arial Narrow"/>
                <w:sz w:val="22"/>
              </w:rPr>
              <w:t xml:space="preserve"> zur</w:t>
            </w:r>
            <w:r w:rsidRPr="00A93162">
              <w:rPr>
                <w:rFonts w:ascii="Arial Narrow" w:hAnsi="Arial Narrow"/>
                <w:sz w:val="22"/>
              </w:rPr>
              <w:t xml:space="preserve"> Behandlung von Erwachsenen mit multiresistenter </w:t>
            </w:r>
            <w:r>
              <w:rPr>
                <w:rFonts w:ascii="Arial Narrow" w:hAnsi="Arial Narrow"/>
                <w:sz w:val="22"/>
              </w:rPr>
              <w:t xml:space="preserve">Tuberkulose wird seit 19. September 2023 in deutschen Leitlinien </w:t>
            </w:r>
            <w:r w:rsidRPr="00A93162">
              <w:rPr>
                <w:rFonts w:ascii="Arial Narrow" w:hAnsi="Arial Narrow"/>
                <w:sz w:val="22"/>
              </w:rPr>
              <w:t>empfohlen</w:t>
            </w:r>
            <w:r w:rsidR="00BA2BEC">
              <w:rPr>
                <w:rFonts w:ascii="Arial Narrow" w:hAnsi="Arial Narrow"/>
                <w:sz w:val="22"/>
              </w:rPr>
              <w:t xml:space="preserve"> (Otto-Knapp et al. 2023)</w:t>
            </w:r>
            <w:r>
              <w:rPr>
                <w:rFonts w:ascii="Arial Narrow" w:hAnsi="Arial Narrow"/>
                <w:sz w:val="22"/>
              </w:rPr>
              <w:t xml:space="preserve">. Die Empfehlung basiert auf den Ergebnissen </w:t>
            </w:r>
            <w:r w:rsidRPr="00A93162">
              <w:rPr>
                <w:rFonts w:ascii="Arial Narrow" w:hAnsi="Arial Narrow"/>
                <w:sz w:val="22"/>
              </w:rPr>
              <w:t>der randomisierten, kontrollierten P</w:t>
            </w:r>
            <w:r w:rsidR="0000751F">
              <w:rPr>
                <w:rFonts w:ascii="Arial Narrow" w:hAnsi="Arial Narrow"/>
                <w:sz w:val="22"/>
              </w:rPr>
              <w:t>hase II-III-Studie TB-PRACTECAL</w:t>
            </w:r>
            <w:r w:rsidR="00C7032C">
              <w:rPr>
                <w:rFonts w:ascii="Arial Narrow" w:hAnsi="Arial Narrow"/>
                <w:sz w:val="22"/>
              </w:rPr>
              <w:t xml:space="preserve"> </w:t>
            </w:r>
            <w:r w:rsidR="00C7032C" w:rsidRPr="00C7032C">
              <w:rPr>
                <w:rFonts w:ascii="Arial Narrow" w:hAnsi="Arial Narrow"/>
                <w:sz w:val="22"/>
              </w:rPr>
              <w:t>(</w:t>
            </w:r>
            <w:proofErr w:type="spellStart"/>
            <w:r w:rsidR="00C7032C" w:rsidRPr="00C7032C">
              <w:rPr>
                <w:rFonts w:ascii="Arial Narrow" w:hAnsi="Arial Narrow"/>
                <w:sz w:val="22"/>
              </w:rPr>
              <w:t>Nyang'wa</w:t>
            </w:r>
            <w:proofErr w:type="spellEnd"/>
            <w:r w:rsidR="00C7032C" w:rsidRPr="00C7032C">
              <w:rPr>
                <w:rFonts w:ascii="Arial Narrow" w:hAnsi="Arial Narrow"/>
                <w:sz w:val="22"/>
              </w:rPr>
              <w:t xml:space="preserve"> et al. 2022, </w:t>
            </w:r>
            <w:proofErr w:type="spellStart"/>
            <w:r w:rsidR="00C7032C" w:rsidRPr="00C7032C">
              <w:rPr>
                <w:rFonts w:ascii="Arial Narrow" w:hAnsi="Arial Narrow"/>
                <w:sz w:val="22"/>
              </w:rPr>
              <w:t>Nyang'wa</w:t>
            </w:r>
            <w:proofErr w:type="spellEnd"/>
            <w:r w:rsidR="00C7032C" w:rsidRPr="00C7032C">
              <w:rPr>
                <w:rFonts w:ascii="Arial Narrow" w:hAnsi="Arial Narrow"/>
                <w:sz w:val="22"/>
              </w:rPr>
              <w:t xml:space="preserve"> et al. 2024).</w:t>
            </w:r>
            <w:r w:rsidR="00CB465F">
              <w:rPr>
                <w:rFonts w:ascii="Arial Narrow" w:hAnsi="Arial Narrow"/>
                <w:sz w:val="22"/>
              </w:rPr>
              <w:t xml:space="preserve"> </w:t>
            </w:r>
          </w:p>
          <w:p w14:paraId="557042DA" w14:textId="77777777" w:rsidR="00B64EEF" w:rsidRDefault="00B64EEF" w:rsidP="00C11458">
            <w:pPr>
              <w:rPr>
                <w:rFonts w:ascii="Arial Narrow" w:hAnsi="Arial Narrow"/>
                <w:sz w:val="22"/>
              </w:rPr>
            </w:pPr>
          </w:p>
          <w:p w14:paraId="2E33398B" w14:textId="6A22E711" w:rsidR="00CA3D59" w:rsidRDefault="00CA3D59" w:rsidP="00C11458">
            <w:pPr>
              <w:rPr>
                <w:rFonts w:ascii="Arial Narrow" w:hAnsi="Arial Narrow"/>
                <w:sz w:val="22"/>
                <w:szCs w:val="22"/>
              </w:rPr>
            </w:pPr>
            <w:r w:rsidRPr="00CA3D59">
              <w:rPr>
                <w:rFonts w:ascii="Arial Narrow" w:hAnsi="Arial Narrow"/>
                <w:sz w:val="22"/>
              </w:rPr>
              <w:t xml:space="preserve">In den Informationen nach §6 Abs. 2 </w:t>
            </w:r>
            <w:proofErr w:type="spellStart"/>
            <w:r w:rsidRPr="00CA3D59">
              <w:rPr>
                <w:rFonts w:ascii="Arial Narrow" w:hAnsi="Arial Narrow"/>
                <w:sz w:val="22"/>
              </w:rPr>
              <w:t>KHEntgG</w:t>
            </w:r>
            <w:proofErr w:type="spellEnd"/>
            <w:r w:rsidRPr="00CA3D59">
              <w:rPr>
                <w:rFonts w:ascii="Arial Narrow" w:hAnsi="Arial Narrow"/>
                <w:sz w:val="22"/>
              </w:rPr>
              <w:t xml:space="preserve"> für 2025 hat </w:t>
            </w:r>
            <w:proofErr w:type="spellStart"/>
            <w:r>
              <w:rPr>
                <w:rFonts w:ascii="Arial Narrow" w:hAnsi="Arial Narrow"/>
                <w:sz w:val="22"/>
              </w:rPr>
              <w:t>Bedaquilin</w:t>
            </w:r>
            <w:proofErr w:type="spellEnd"/>
            <w:r w:rsidRPr="00CA3D59">
              <w:rPr>
                <w:rFonts w:ascii="Arial Narrow" w:hAnsi="Arial Narrow"/>
                <w:sz w:val="22"/>
              </w:rPr>
              <w:t xml:space="preserve"> den Status </w:t>
            </w:r>
            <w:r>
              <w:rPr>
                <w:rFonts w:ascii="Arial Narrow" w:hAnsi="Arial Narrow"/>
                <w:sz w:val="22"/>
              </w:rPr>
              <w:t>2</w:t>
            </w:r>
            <w:r w:rsidRPr="00CA3D59">
              <w:rPr>
                <w:rFonts w:ascii="Arial Narrow" w:hAnsi="Arial Narrow"/>
                <w:sz w:val="22"/>
              </w:rPr>
              <w:t>.</w:t>
            </w:r>
            <w:r w:rsidR="008B4D1B">
              <w:rPr>
                <w:rFonts w:ascii="Arial Narrow" w:hAnsi="Arial Narrow"/>
                <w:sz w:val="22"/>
              </w:rPr>
              <w:t xml:space="preserve"> D</w:t>
            </w:r>
            <w:r w:rsidR="008B4D1B" w:rsidRPr="008B4D1B">
              <w:rPr>
                <w:rFonts w:ascii="Arial Narrow" w:hAnsi="Arial Narrow"/>
                <w:sz w:val="22"/>
              </w:rPr>
              <w:t>ie Einstufung in den Status 2 ist nicht nachvollziehbar</w:t>
            </w:r>
            <w:r w:rsidR="00332253">
              <w:rPr>
                <w:rFonts w:ascii="Arial Narrow" w:hAnsi="Arial Narrow"/>
                <w:sz w:val="22"/>
              </w:rPr>
              <w:t xml:space="preserve">. </w:t>
            </w:r>
          </w:p>
          <w:p w14:paraId="558761B6" w14:textId="77777777" w:rsidR="00CE61F3" w:rsidRDefault="00CE61F3" w:rsidP="00C11458">
            <w:pPr>
              <w:rPr>
                <w:rFonts w:ascii="Arial Narrow" w:hAnsi="Arial Narrow"/>
                <w:sz w:val="22"/>
              </w:rPr>
            </w:pPr>
          </w:p>
          <w:p w14:paraId="6B1FDB47" w14:textId="4FB9DBF6" w:rsidR="00DD253B" w:rsidRPr="00930145" w:rsidRDefault="00DD253B" w:rsidP="00F532D9">
            <w:pPr>
              <w:rPr>
                <w:rFonts w:ascii="Arial Narrow" w:hAnsi="Arial Narrow"/>
                <w:sz w:val="22"/>
              </w:rPr>
            </w:pPr>
            <w:r w:rsidRPr="00DD253B">
              <w:rPr>
                <w:rFonts w:ascii="Arial Narrow" w:hAnsi="Arial Narrow"/>
                <w:sz w:val="22"/>
                <w:szCs w:val="22"/>
              </w:rPr>
              <w:t xml:space="preserve"> </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7144478A" w14:textId="3D4A2E35" w:rsidR="0024039E" w:rsidRDefault="00494009" w:rsidP="00494009">
            <w:pPr>
              <w:rPr>
                <w:rFonts w:ascii="Arial Narrow" w:hAnsi="Arial Narrow"/>
                <w:sz w:val="22"/>
              </w:rPr>
            </w:pPr>
            <w:r>
              <w:rPr>
                <w:rFonts w:ascii="Arial Narrow" w:hAnsi="Arial Narrow"/>
                <w:sz w:val="22"/>
              </w:rPr>
              <w:t>Die k</w:t>
            </w:r>
            <w:r w:rsidRPr="00494009">
              <w:rPr>
                <w:rFonts w:ascii="Arial Narrow" w:hAnsi="Arial Narrow"/>
                <w:sz w:val="22"/>
              </w:rPr>
              <w:t>omplexen und häufig weit fortgeschrittenen Erkrankungen bei medikamentenresistenter TB benötigen eine stationäre Einleitung der Behandlung oft unter Isolationsbedingungen. Eine häusliche Isolation ist in der Regel aufgrund der Begleitumstände nicht möglich. Der Übergang in die ambulante Versorgung ist nach deutscher Leitlinie erst möglich, wenn eine wirksame Therapie vollständig etabliert ist, das klinische und mikrobiologische Ansprechen gesichert ist, die Verträglichkeit der Therapie dies zulässt und eine qualitativ hochwertige ambulante Betreuung nach Entlassung sichergestellt ist. Dies ist in der Regel erst nach mehreren Wochen bis Monaten der Fall.</w:t>
            </w:r>
            <w:r>
              <w:rPr>
                <w:rFonts w:ascii="Arial Narrow" w:hAnsi="Arial Narrow"/>
                <w:sz w:val="22"/>
              </w:rPr>
              <w:t xml:space="preserve"> </w:t>
            </w:r>
            <w:r w:rsidR="00176C8F">
              <w:rPr>
                <w:rFonts w:ascii="Arial Narrow" w:hAnsi="Arial Narrow"/>
                <w:sz w:val="22"/>
              </w:rPr>
              <w:t xml:space="preserve">In der TB-PRACTECAL-Studie gab es Hinweise auf einer höhere </w:t>
            </w:r>
            <w:proofErr w:type="spellStart"/>
            <w:r w:rsidR="00176C8F">
              <w:rPr>
                <w:rFonts w:ascii="Arial Narrow" w:hAnsi="Arial Narrow"/>
                <w:sz w:val="22"/>
              </w:rPr>
              <w:t>Bakterizidie</w:t>
            </w:r>
            <w:proofErr w:type="spellEnd"/>
            <w:r w:rsidR="00176C8F">
              <w:rPr>
                <w:rFonts w:ascii="Arial Narrow" w:hAnsi="Arial Narrow"/>
                <w:sz w:val="22"/>
              </w:rPr>
              <w:t xml:space="preserve"> durch </w:t>
            </w:r>
            <w:proofErr w:type="spellStart"/>
            <w:r w:rsidR="00176C8F">
              <w:rPr>
                <w:rFonts w:ascii="Arial Narrow" w:hAnsi="Arial Narrow"/>
                <w:sz w:val="22"/>
              </w:rPr>
              <w:t>BPaLM</w:t>
            </w:r>
            <w:proofErr w:type="spellEnd"/>
            <w:r w:rsidR="00176C8F">
              <w:rPr>
                <w:rFonts w:ascii="Arial Narrow" w:hAnsi="Arial Narrow"/>
                <w:sz w:val="22"/>
              </w:rPr>
              <w:t>, was die Ansteckungsfähigkeit schneller reduzieren und damit ebenfalls zur Infektionskon</w:t>
            </w:r>
            <w:r w:rsidR="00CB465F">
              <w:rPr>
                <w:rFonts w:ascii="Arial Narrow" w:hAnsi="Arial Narrow"/>
                <w:sz w:val="22"/>
              </w:rPr>
              <w:t>t</w:t>
            </w:r>
            <w:r w:rsidR="00176C8F">
              <w:rPr>
                <w:rFonts w:ascii="Arial Narrow" w:hAnsi="Arial Narrow"/>
                <w:sz w:val="22"/>
              </w:rPr>
              <w:t>rolle beitragen kann.</w:t>
            </w:r>
            <w:r w:rsidR="00176C8F" w:rsidRPr="005638EB" w:rsidDel="00176C8F">
              <w:rPr>
                <w:rFonts w:ascii="Arial Narrow" w:hAnsi="Arial Narrow"/>
                <w:sz w:val="22"/>
              </w:rPr>
              <w:t xml:space="preserve"> </w:t>
            </w:r>
          </w:p>
          <w:p w14:paraId="46EE6174" w14:textId="77777777" w:rsidR="0024039E" w:rsidRDefault="0024039E" w:rsidP="00494009">
            <w:pPr>
              <w:rPr>
                <w:rFonts w:ascii="Arial Narrow" w:hAnsi="Arial Narrow"/>
                <w:sz w:val="22"/>
              </w:rPr>
            </w:pPr>
          </w:p>
          <w:p w14:paraId="19E75E35" w14:textId="13711F57" w:rsidR="00A530BE" w:rsidRPr="0024039E" w:rsidRDefault="00176C8F" w:rsidP="00494009">
            <w:pPr>
              <w:rPr>
                <w:rFonts w:ascii="Arial Narrow" w:hAnsi="Arial Narrow"/>
                <w:sz w:val="22"/>
              </w:rPr>
            </w:pPr>
            <w:r>
              <w:rPr>
                <w:rFonts w:ascii="Arial Narrow" w:hAnsi="Arial Narrow"/>
                <w:sz w:val="22"/>
              </w:rPr>
              <w:t xml:space="preserve">Die Verweildauer im Krankhaus hängt von der in den meisten Fällen von MDR-TB von der </w:t>
            </w:r>
            <w:r w:rsidR="00CB465F">
              <w:rPr>
                <w:rFonts w:ascii="Arial Narrow" w:hAnsi="Arial Narrow"/>
                <w:sz w:val="22"/>
              </w:rPr>
              <w:t>Infektiosität</w:t>
            </w:r>
            <w:r>
              <w:rPr>
                <w:rFonts w:ascii="Arial Narrow" w:hAnsi="Arial Narrow"/>
                <w:sz w:val="22"/>
              </w:rPr>
              <w:t xml:space="preserve"> und den damit verbundenen Risiken ab. Nach deutschen Empfehlungen muss </w:t>
            </w:r>
            <w:r w:rsidR="00EE4DB6">
              <w:rPr>
                <w:rFonts w:ascii="Arial Narrow" w:hAnsi="Arial Narrow"/>
                <w:sz w:val="22"/>
              </w:rPr>
              <w:t xml:space="preserve">mindestens </w:t>
            </w:r>
            <w:r>
              <w:rPr>
                <w:rFonts w:ascii="Arial Narrow" w:hAnsi="Arial Narrow"/>
                <w:sz w:val="22"/>
              </w:rPr>
              <w:t xml:space="preserve">eine </w:t>
            </w:r>
            <w:r w:rsidR="00EE4DB6">
              <w:rPr>
                <w:rFonts w:ascii="Arial Narrow" w:hAnsi="Arial Narrow"/>
                <w:sz w:val="22"/>
              </w:rPr>
              <w:t xml:space="preserve">negative </w:t>
            </w:r>
            <w:proofErr w:type="spellStart"/>
            <w:r w:rsidR="00EE4DB6">
              <w:rPr>
                <w:rFonts w:ascii="Arial Narrow" w:hAnsi="Arial Narrow"/>
                <w:sz w:val="22"/>
              </w:rPr>
              <w:t>Sputumkultur</w:t>
            </w:r>
            <w:proofErr w:type="spellEnd"/>
            <w:r w:rsidR="00EE4DB6">
              <w:rPr>
                <w:rFonts w:ascii="Arial Narrow" w:hAnsi="Arial Narrow"/>
                <w:sz w:val="22"/>
              </w:rPr>
              <w:t xml:space="preserve"> abgewartet werden</w:t>
            </w:r>
            <w:r w:rsidR="00CE61F3">
              <w:rPr>
                <w:rFonts w:ascii="Arial Narrow" w:hAnsi="Arial Narrow"/>
                <w:sz w:val="22"/>
              </w:rPr>
              <w:t xml:space="preserve"> (Witte et al. 2023)</w:t>
            </w:r>
            <w:r w:rsidR="00EE4DB6">
              <w:rPr>
                <w:rFonts w:ascii="Arial Narrow" w:hAnsi="Arial Narrow"/>
                <w:sz w:val="22"/>
              </w:rPr>
              <w:t xml:space="preserve">. Daher </w:t>
            </w:r>
            <w:r w:rsidR="0024039E">
              <w:rPr>
                <w:rFonts w:ascii="Arial Narrow" w:hAnsi="Arial Narrow"/>
                <w:sz w:val="22"/>
              </w:rPr>
              <w:t>wird</w:t>
            </w:r>
            <w:r w:rsidR="000C1EB4">
              <w:rPr>
                <w:rFonts w:ascii="Arial Narrow" w:hAnsi="Arial Narrow"/>
                <w:sz w:val="22"/>
              </w:rPr>
              <w:t xml:space="preserve"> in der Regel </w:t>
            </w:r>
            <w:r w:rsidR="00EE4DB6">
              <w:rPr>
                <w:rFonts w:ascii="Arial Narrow" w:hAnsi="Arial Narrow"/>
                <w:sz w:val="22"/>
              </w:rPr>
              <w:t xml:space="preserve">mit einem stationären Aufenthalt von mindestens 8 Wochen </w:t>
            </w:r>
            <w:r w:rsidR="000C1EB4">
              <w:rPr>
                <w:rFonts w:ascii="Arial Narrow" w:hAnsi="Arial Narrow"/>
                <w:sz w:val="22"/>
              </w:rPr>
              <w:t>ge</w:t>
            </w:r>
            <w:r w:rsidR="00EE4DB6">
              <w:rPr>
                <w:rFonts w:ascii="Arial Narrow" w:hAnsi="Arial Narrow"/>
                <w:sz w:val="22"/>
              </w:rPr>
              <w:t>rechne</w:t>
            </w:r>
            <w:r w:rsidR="000C1EB4">
              <w:rPr>
                <w:rFonts w:ascii="Arial Narrow" w:hAnsi="Arial Narrow"/>
                <w:sz w:val="22"/>
              </w:rPr>
              <w:t>t</w:t>
            </w:r>
            <w:r w:rsidR="00EE4DB6">
              <w:rPr>
                <w:rFonts w:ascii="Arial Narrow" w:hAnsi="Arial Narrow"/>
                <w:sz w:val="22"/>
              </w:rPr>
              <w:t xml:space="preserve">. Die bessere Wirksamkeit und Verträglichkeit von BPALM erhöht die Chancen für eine zeitnahe Entlassung nach diesem Zeitraum. </w:t>
            </w:r>
            <w:r w:rsidR="00644EDC">
              <w:rPr>
                <w:rFonts w:ascii="Arial Narrow" w:hAnsi="Arial Narrow"/>
                <w:sz w:val="22"/>
              </w:rPr>
              <w:t xml:space="preserve">In einigen Fällen können die </w:t>
            </w:r>
            <w:r w:rsidR="000C1EB4">
              <w:rPr>
                <w:rFonts w:ascii="Arial Narrow" w:hAnsi="Arial Narrow"/>
                <w:sz w:val="22"/>
              </w:rPr>
              <w:t xml:space="preserve">Möglichkeiten für eine häusliche Isolation vor Ablauf der 8 Wochen durch die gute Verträglichkeit von </w:t>
            </w:r>
            <w:proofErr w:type="spellStart"/>
            <w:r w:rsidR="000C1EB4">
              <w:rPr>
                <w:rFonts w:ascii="Arial Narrow" w:hAnsi="Arial Narrow"/>
                <w:sz w:val="22"/>
              </w:rPr>
              <w:t>BPaLM</w:t>
            </w:r>
            <w:proofErr w:type="spellEnd"/>
            <w:r w:rsidR="000C1EB4">
              <w:rPr>
                <w:rFonts w:ascii="Arial Narrow" w:hAnsi="Arial Narrow"/>
                <w:sz w:val="22"/>
              </w:rPr>
              <w:t xml:space="preserve"> verbessert</w:t>
            </w:r>
            <w:r w:rsidR="00644EDC">
              <w:rPr>
                <w:rFonts w:ascii="Arial Narrow" w:hAnsi="Arial Narrow"/>
                <w:sz w:val="22"/>
              </w:rPr>
              <w:t xml:space="preserve"> werden</w:t>
            </w:r>
            <w:r w:rsidR="000C1EB4">
              <w:rPr>
                <w:rFonts w:ascii="Arial Narrow" w:hAnsi="Arial Narrow"/>
                <w:sz w:val="22"/>
              </w:rPr>
              <w:t xml:space="preserve">. </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4680A4F3" w:rsidR="00D14350" w:rsidRPr="00B123AA" w:rsidRDefault="0024039E" w:rsidP="00C112A6">
            <w:pPr>
              <w:rPr>
                <w:rFonts w:ascii="Arial Narrow" w:hAnsi="Arial Narrow"/>
                <w:sz w:val="22"/>
                <w:szCs w:val="22"/>
              </w:rPr>
            </w:pPr>
            <w:r>
              <w:rPr>
                <w:rFonts w:ascii="Arial Narrow" w:hAnsi="Arial Narrow"/>
                <w:sz w:val="22"/>
              </w:rPr>
              <w:t>2014 innerhalb der 18-monatigen indivi</w:t>
            </w:r>
            <w:r w:rsidR="00114B37">
              <w:rPr>
                <w:rFonts w:ascii="Arial Narrow" w:hAnsi="Arial Narrow"/>
                <w:sz w:val="22"/>
              </w:rPr>
              <w:t>d</w:t>
            </w:r>
            <w:r>
              <w:rPr>
                <w:rFonts w:ascii="Arial Narrow" w:hAnsi="Arial Narrow"/>
                <w:sz w:val="22"/>
              </w:rPr>
              <w:t xml:space="preserve">ualisierten Therapie; </w:t>
            </w:r>
            <w:r w:rsidR="00644EDC" w:rsidRPr="0067279C">
              <w:rPr>
                <w:rFonts w:ascii="Arial Narrow" w:hAnsi="Arial Narrow"/>
                <w:sz w:val="22"/>
                <w:szCs w:val="22"/>
              </w:rPr>
              <w:t>2023</w:t>
            </w:r>
            <w:r w:rsidRPr="0067279C">
              <w:rPr>
                <w:rFonts w:ascii="Arial Narrow" w:hAnsi="Arial Narrow"/>
                <w:sz w:val="22"/>
                <w:szCs w:val="22"/>
              </w:rPr>
              <w:t xml:space="preserve"> in der Medikamentenkombination </w:t>
            </w:r>
            <w:proofErr w:type="spellStart"/>
            <w:r w:rsidRPr="0067279C">
              <w:rPr>
                <w:rFonts w:ascii="Arial Narrow" w:hAnsi="Arial Narrow"/>
                <w:sz w:val="22"/>
                <w:szCs w:val="22"/>
              </w:rPr>
              <w:t>BPaLM</w:t>
            </w:r>
            <w:proofErr w:type="spellEnd"/>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75CC0E9D" w:rsidR="00044597" w:rsidRPr="00C112A6" w:rsidRDefault="00A4297A" w:rsidP="00C112A6">
            <w:pPr>
              <w:rPr>
                <w:rFonts w:ascii="Arial Narrow" w:hAnsi="Arial Narrow"/>
                <w:color w:val="00B050"/>
                <w:sz w:val="22"/>
              </w:rPr>
            </w:pPr>
            <w:r>
              <w:rPr>
                <w:rFonts w:ascii="Arial Narrow" w:hAnsi="Arial Narrow"/>
                <w:sz w:val="22"/>
                <w:szCs w:val="22"/>
              </w:rPr>
              <w:t>05</w:t>
            </w:r>
            <w:r w:rsidR="00877ECA">
              <w:rPr>
                <w:rFonts w:ascii="Arial Narrow" w:hAnsi="Arial Narrow"/>
                <w:sz w:val="22"/>
                <w:szCs w:val="22"/>
              </w:rPr>
              <w:t>.03.2014</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7C11E809" w:rsidR="00647D4E" w:rsidRPr="006777DE" w:rsidRDefault="00647D4E" w:rsidP="00C112A6">
            <w:pPr>
              <w:rPr>
                <w:rFonts w:ascii="Arial Narrow" w:hAnsi="Arial Narrow"/>
                <w:sz w:val="22"/>
              </w:rPr>
            </w:pPr>
            <w:proofErr w:type="spellStart"/>
            <w:r>
              <w:rPr>
                <w:rFonts w:ascii="Arial Narrow" w:hAnsi="Arial Narrow"/>
                <w:sz w:val="22"/>
              </w:rPr>
              <w:t>Bedaquilin</w:t>
            </w:r>
            <w:proofErr w:type="spellEnd"/>
            <w:r>
              <w:rPr>
                <w:rFonts w:ascii="Arial Narrow" w:hAnsi="Arial Narrow"/>
                <w:sz w:val="22"/>
              </w:rPr>
              <w:t xml:space="preserve"> </w:t>
            </w:r>
            <w:r w:rsidRPr="00647D4E">
              <w:rPr>
                <w:rFonts w:ascii="Arial Narrow" w:hAnsi="Arial Narrow"/>
                <w:sz w:val="22"/>
              </w:rPr>
              <w:t xml:space="preserve">wird schätzungsweise in ca. </w:t>
            </w:r>
            <w:r>
              <w:rPr>
                <w:rFonts w:ascii="Arial Narrow" w:hAnsi="Arial Narrow"/>
                <w:sz w:val="22"/>
              </w:rPr>
              <w:t>243</w:t>
            </w:r>
            <w:r w:rsidRPr="00647D4E">
              <w:rPr>
                <w:rFonts w:ascii="Arial Narrow" w:hAnsi="Arial Narrow"/>
                <w:sz w:val="22"/>
              </w:rPr>
              <w:t xml:space="preserve"> Kliniken in Deutschland eingesetzt (Schätzungen aufgrund der NUB-Anfragen des Vorjahres).</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42AA5B45"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647D4E">
              <w:rPr>
                <w:rFonts w:ascii="Arial Narrow" w:hAnsi="Arial Narrow"/>
                <w:b/>
                <w:sz w:val="22"/>
              </w:rPr>
              <w:t>4</w:t>
            </w:r>
            <w:r w:rsidR="000953D2">
              <w:rPr>
                <w:rFonts w:ascii="Arial Narrow" w:hAnsi="Arial Narrow"/>
                <w:b/>
                <w:sz w:val="22"/>
              </w:rPr>
              <w:t xml:space="preserve"> oder in </w:t>
            </w:r>
            <w:r w:rsidR="00647D4E">
              <w:rPr>
                <w:rFonts w:ascii="Arial Narrow" w:hAnsi="Arial Narrow"/>
                <w:b/>
                <w:sz w:val="22"/>
              </w:rPr>
              <w:t>2025</w:t>
            </w:r>
            <w:r w:rsidR="00647D4E" w:rsidRPr="008C1686">
              <w:rPr>
                <w:rFonts w:ascii="Arial Narrow" w:hAnsi="Arial Narrow"/>
                <w:b/>
                <w:sz w:val="22"/>
              </w:rPr>
              <w:t xml:space="preserve"> </w:t>
            </w:r>
            <w:r w:rsidRPr="008C1686">
              <w:rPr>
                <w:rFonts w:ascii="Arial Narrow" w:hAnsi="Arial Narrow"/>
                <w:b/>
                <w:sz w:val="22"/>
              </w:rPr>
              <w:t>mit dieser Methode behandelt?</w:t>
            </w:r>
          </w:p>
        </w:tc>
      </w:tr>
      <w:tr w:rsidR="008E6675" w:rsidRPr="00AB10BF" w14:paraId="5CCFBAD3" w14:textId="77777777">
        <w:tc>
          <w:tcPr>
            <w:tcW w:w="9212" w:type="dxa"/>
          </w:tcPr>
          <w:p w14:paraId="4F6124DB" w14:textId="1C7C34E5"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1E5762">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6405EBF6"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1E5762">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rsidTr="00176AB4">
        <w:tc>
          <w:tcPr>
            <w:tcW w:w="9212" w:type="dxa"/>
          </w:tcPr>
          <w:p w14:paraId="2C8371FB" w14:textId="523A341A"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1E5762">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rsidTr="00FE6ADF">
        <w:tc>
          <w:tcPr>
            <w:tcW w:w="9212" w:type="dxa"/>
            <w:tcBorders>
              <w:bottom w:val="single" w:sz="4" w:space="0" w:color="auto"/>
            </w:tcBorders>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C564B6" w:rsidRPr="005638EB" w14:paraId="7698B4B7" w14:textId="77777777" w:rsidTr="00FE6ADF">
        <w:tc>
          <w:tcPr>
            <w:tcW w:w="9212" w:type="dxa"/>
            <w:tcBorders>
              <w:top w:val="single" w:sz="4" w:space="0" w:color="auto"/>
              <w:left w:val="nil"/>
              <w:bottom w:val="single" w:sz="4" w:space="0" w:color="auto"/>
              <w:right w:val="nil"/>
            </w:tcBorders>
          </w:tcPr>
          <w:p w14:paraId="6128D5A3" w14:textId="77777777" w:rsidR="00C564B6" w:rsidRPr="00983554" w:rsidRDefault="00C564B6" w:rsidP="0036178C">
            <w:pPr>
              <w:rPr>
                <w:rFonts w:ascii="Arial Narrow" w:hAnsi="Arial Narrow"/>
                <w:sz w:val="22"/>
                <w:highlight w:val="yellow"/>
              </w:rPr>
            </w:pPr>
          </w:p>
        </w:tc>
      </w:tr>
      <w:tr w:rsidR="008E6675" w:rsidRPr="005638EB" w14:paraId="04A6A805" w14:textId="77777777" w:rsidTr="00FE6ADF">
        <w:tc>
          <w:tcPr>
            <w:tcW w:w="9212" w:type="dxa"/>
            <w:tcBorders>
              <w:top w:val="single" w:sz="4" w:space="0" w:color="auto"/>
            </w:tcBorders>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rsidTr="00176AB4">
        <w:tc>
          <w:tcPr>
            <w:tcW w:w="9212" w:type="dxa"/>
          </w:tcPr>
          <w:p w14:paraId="64008FC3" w14:textId="77777777" w:rsidR="00E363F1" w:rsidRDefault="00E363F1" w:rsidP="005D60B6">
            <w:pPr>
              <w:rPr>
                <w:rFonts w:ascii="Arial Narrow" w:hAnsi="Arial Narrow"/>
                <w:sz w:val="22"/>
                <w:u w:val="single"/>
              </w:rPr>
            </w:pPr>
            <w:r w:rsidRPr="00E363F1">
              <w:rPr>
                <w:rFonts w:ascii="Arial Narrow" w:hAnsi="Arial Narrow"/>
                <w:sz w:val="22"/>
                <w:u w:val="single"/>
              </w:rPr>
              <w:t>Sachkosten</w:t>
            </w:r>
          </w:p>
          <w:p w14:paraId="1637802A" w14:textId="1C66138E" w:rsidR="00C448D8" w:rsidRDefault="00C448D8" w:rsidP="005D60B6">
            <w:pPr>
              <w:rPr>
                <w:rFonts w:ascii="Arial Narrow" w:hAnsi="Arial Narrow"/>
                <w:sz w:val="22"/>
                <w:u w:val="single"/>
              </w:rPr>
            </w:pPr>
            <w:r>
              <w:rPr>
                <w:rFonts w:ascii="Arial Narrow" w:hAnsi="Arial Narrow"/>
                <w:sz w:val="22"/>
                <w:u w:val="single"/>
              </w:rPr>
              <w:t xml:space="preserve">Durch die Gabe von </w:t>
            </w:r>
            <w:proofErr w:type="spellStart"/>
            <w:r>
              <w:rPr>
                <w:rFonts w:ascii="Arial Narrow" w:hAnsi="Arial Narrow"/>
                <w:sz w:val="22"/>
                <w:u w:val="single"/>
              </w:rPr>
              <w:t>Bedaquilin</w:t>
            </w:r>
            <w:proofErr w:type="spellEnd"/>
            <w:r>
              <w:rPr>
                <w:rFonts w:ascii="Arial Narrow" w:hAnsi="Arial Narrow"/>
                <w:sz w:val="22"/>
                <w:u w:val="single"/>
              </w:rPr>
              <w:t xml:space="preserve"> </w:t>
            </w:r>
            <w:proofErr w:type="spellStart"/>
            <w:r>
              <w:rPr>
                <w:rFonts w:ascii="Arial Narrow" w:hAnsi="Arial Narrow"/>
                <w:sz w:val="22"/>
                <w:u w:val="single"/>
              </w:rPr>
              <w:t>enstehen</w:t>
            </w:r>
            <w:proofErr w:type="spellEnd"/>
            <w:r>
              <w:rPr>
                <w:rFonts w:ascii="Arial Narrow" w:hAnsi="Arial Narrow"/>
                <w:sz w:val="22"/>
                <w:u w:val="single"/>
              </w:rPr>
              <w:t xml:space="preserve"> folgende Zusatzkosten:</w:t>
            </w:r>
          </w:p>
          <w:p w14:paraId="13AD98FD" w14:textId="79DCDA3A" w:rsidR="00C448D8" w:rsidRDefault="00C448D8" w:rsidP="005D60B6">
            <w:pPr>
              <w:rPr>
                <w:rFonts w:ascii="Arial Narrow" w:hAnsi="Arial Narrow"/>
                <w:sz w:val="22"/>
                <w:u w:val="single"/>
              </w:rPr>
            </w:pPr>
            <w:r>
              <w:rPr>
                <w:rFonts w:ascii="Arial Narrow" w:hAnsi="Arial Narrow"/>
                <w:sz w:val="22"/>
                <w:u w:val="single"/>
              </w:rPr>
              <w:t>Packungsgröße:</w:t>
            </w:r>
            <w:r w:rsidR="007E2252">
              <w:rPr>
                <w:rFonts w:ascii="Arial Narrow" w:hAnsi="Arial Narrow"/>
                <w:sz w:val="22"/>
                <w:u w:val="single"/>
              </w:rPr>
              <w:t xml:space="preserve"> 100mg Tabletten, 24 Stück</w:t>
            </w:r>
          </w:p>
          <w:p w14:paraId="42B0635C" w14:textId="791847E4" w:rsidR="00C448D8" w:rsidRDefault="00C448D8" w:rsidP="005D60B6">
            <w:pPr>
              <w:rPr>
                <w:rFonts w:ascii="Arial Narrow" w:hAnsi="Arial Narrow"/>
                <w:sz w:val="22"/>
                <w:u w:val="single"/>
              </w:rPr>
            </w:pPr>
            <w:r>
              <w:rPr>
                <w:rFonts w:ascii="Arial Narrow" w:hAnsi="Arial Narrow"/>
                <w:sz w:val="22"/>
                <w:u w:val="single"/>
              </w:rPr>
              <w:t>Preis pro Pa</w:t>
            </w:r>
            <w:r w:rsidR="00FB477F">
              <w:rPr>
                <w:rFonts w:ascii="Arial Narrow" w:hAnsi="Arial Narrow"/>
                <w:sz w:val="22"/>
                <w:u w:val="single"/>
              </w:rPr>
              <w:t>ckung</w:t>
            </w:r>
            <w:r w:rsidR="007E2252">
              <w:rPr>
                <w:rFonts w:ascii="Arial Narrow" w:hAnsi="Arial Narrow"/>
                <w:sz w:val="22"/>
                <w:u w:val="single"/>
              </w:rPr>
              <w:t xml:space="preserve">: </w:t>
            </w:r>
            <w:r w:rsidR="00792061">
              <w:rPr>
                <w:rFonts w:ascii="Arial Narrow" w:hAnsi="Arial Narrow"/>
                <w:sz w:val="22"/>
                <w:u w:val="single"/>
              </w:rPr>
              <w:t>3.719,43 €</w:t>
            </w:r>
            <w:r w:rsidR="00FB477F">
              <w:rPr>
                <w:rFonts w:ascii="Arial Narrow" w:hAnsi="Arial Narrow"/>
                <w:sz w:val="22"/>
                <w:u w:val="single"/>
              </w:rPr>
              <w:t xml:space="preserve"> (laut Taxe-VK, inkl. MwSt. Preis Stand 15.09.2025)</w:t>
            </w:r>
          </w:p>
          <w:p w14:paraId="1B42DD40" w14:textId="77777777" w:rsidR="006318E1" w:rsidRDefault="006318E1" w:rsidP="005D60B6">
            <w:pPr>
              <w:rPr>
                <w:rFonts w:ascii="Arial Narrow" w:hAnsi="Arial Narrow"/>
                <w:sz w:val="22"/>
                <w:u w:val="single"/>
              </w:rPr>
            </w:pPr>
          </w:p>
          <w:p w14:paraId="1C146AB7" w14:textId="4049138A" w:rsidR="00792061" w:rsidRDefault="00E63FB1" w:rsidP="005D60B6">
            <w:pPr>
              <w:rPr>
                <w:rFonts w:ascii="Arial Narrow" w:hAnsi="Arial Narrow"/>
                <w:sz w:val="22"/>
                <w:u w:val="single"/>
              </w:rPr>
            </w:pPr>
            <w:r>
              <w:rPr>
                <w:rFonts w:ascii="Arial Narrow" w:hAnsi="Arial Narrow"/>
                <w:sz w:val="22"/>
                <w:u w:val="single"/>
              </w:rPr>
              <w:t>Woche 1+2:</w:t>
            </w:r>
            <w:r w:rsidR="00792061">
              <w:rPr>
                <w:rFonts w:ascii="Arial Narrow" w:hAnsi="Arial Narrow"/>
                <w:sz w:val="22"/>
                <w:u w:val="single"/>
              </w:rPr>
              <w:t xml:space="preserve">Therapieschema: </w:t>
            </w:r>
            <w:r w:rsidR="00BC699F">
              <w:rPr>
                <w:rFonts w:ascii="Arial Narrow" w:hAnsi="Arial Narrow"/>
                <w:sz w:val="22"/>
                <w:u w:val="single"/>
              </w:rPr>
              <w:t>400 mg einmal täglich</w:t>
            </w:r>
          </w:p>
          <w:p w14:paraId="52B1748A" w14:textId="74B72192" w:rsidR="00E72ED9" w:rsidRDefault="00E72ED9" w:rsidP="005D60B6">
            <w:pPr>
              <w:rPr>
                <w:rFonts w:ascii="Arial Narrow" w:hAnsi="Arial Narrow"/>
                <w:sz w:val="22"/>
                <w:u w:val="single"/>
              </w:rPr>
            </w:pPr>
            <w:r>
              <w:rPr>
                <w:rFonts w:ascii="Arial Narrow" w:hAnsi="Arial Narrow"/>
                <w:sz w:val="22"/>
                <w:u w:val="single"/>
              </w:rPr>
              <w:t>400 mg x 14 Tage</w:t>
            </w:r>
            <w:r w:rsidR="00FE0D4E">
              <w:rPr>
                <w:rFonts w:ascii="Arial Narrow" w:hAnsi="Arial Narrow"/>
                <w:sz w:val="22"/>
                <w:u w:val="single"/>
              </w:rPr>
              <w:t xml:space="preserve"> = 5.600 mg</w:t>
            </w:r>
          </w:p>
          <w:p w14:paraId="2CED2EDC" w14:textId="6AB8211D" w:rsidR="00BF2081" w:rsidRDefault="00BF2081" w:rsidP="005D60B6">
            <w:pPr>
              <w:rPr>
                <w:rFonts w:ascii="Arial Narrow" w:hAnsi="Arial Narrow"/>
                <w:sz w:val="22"/>
                <w:u w:val="single"/>
              </w:rPr>
            </w:pPr>
            <w:r>
              <w:rPr>
                <w:rFonts w:ascii="Arial Narrow" w:hAnsi="Arial Narrow"/>
                <w:sz w:val="22"/>
                <w:u w:val="single"/>
              </w:rPr>
              <w:t xml:space="preserve">5.600 mg x 1,55 €/mg = </w:t>
            </w:r>
            <w:r w:rsidR="0001039F">
              <w:rPr>
                <w:rFonts w:ascii="Arial Narrow" w:hAnsi="Arial Narrow"/>
                <w:sz w:val="22"/>
                <w:u w:val="single"/>
              </w:rPr>
              <w:t>8.678,67 €</w:t>
            </w:r>
          </w:p>
          <w:p w14:paraId="3A0DC79D" w14:textId="77777777" w:rsidR="00E63FB1" w:rsidRDefault="00E63FB1" w:rsidP="005D60B6">
            <w:pPr>
              <w:rPr>
                <w:rFonts w:ascii="Arial Narrow" w:hAnsi="Arial Narrow"/>
                <w:sz w:val="22"/>
                <w:u w:val="single"/>
              </w:rPr>
            </w:pPr>
          </w:p>
          <w:p w14:paraId="5BFCAA01" w14:textId="2D00A1F3" w:rsidR="00E63FB1" w:rsidRDefault="00E63FB1" w:rsidP="005D60B6">
            <w:pPr>
              <w:rPr>
                <w:rFonts w:ascii="Arial Narrow" w:hAnsi="Arial Narrow"/>
                <w:sz w:val="22"/>
                <w:u w:val="single"/>
              </w:rPr>
            </w:pPr>
            <w:r>
              <w:rPr>
                <w:rFonts w:ascii="Arial Narrow" w:hAnsi="Arial Narrow"/>
                <w:sz w:val="22"/>
                <w:u w:val="single"/>
              </w:rPr>
              <w:t>Woche 3-24:</w:t>
            </w:r>
          </w:p>
          <w:p w14:paraId="312C8980" w14:textId="773E287F" w:rsidR="0001039F" w:rsidRDefault="0001039F" w:rsidP="005D60B6">
            <w:pPr>
              <w:rPr>
                <w:rFonts w:ascii="Arial Narrow" w:hAnsi="Arial Narrow"/>
                <w:sz w:val="22"/>
                <w:u w:val="single"/>
              </w:rPr>
            </w:pPr>
            <w:r>
              <w:rPr>
                <w:rFonts w:ascii="Arial Narrow" w:hAnsi="Arial Narrow"/>
                <w:sz w:val="22"/>
                <w:u w:val="single"/>
              </w:rPr>
              <w:t>Therapieschema: 200 mg dreimal pro Woche</w:t>
            </w:r>
          </w:p>
          <w:p w14:paraId="28D9C4C8" w14:textId="4C97BF68" w:rsidR="00556D90" w:rsidRDefault="00556D90" w:rsidP="005D60B6">
            <w:pPr>
              <w:rPr>
                <w:rFonts w:ascii="Arial Narrow" w:hAnsi="Arial Narrow"/>
                <w:sz w:val="22"/>
                <w:u w:val="single"/>
              </w:rPr>
            </w:pPr>
            <w:r>
              <w:rPr>
                <w:rFonts w:ascii="Arial Narrow" w:hAnsi="Arial Narrow"/>
                <w:sz w:val="22"/>
                <w:u w:val="single"/>
              </w:rPr>
              <w:t xml:space="preserve">200 mg x 3 Tage x </w:t>
            </w:r>
            <w:r w:rsidR="005C600A">
              <w:rPr>
                <w:rFonts w:ascii="Arial Narrow" w:hAnsi="Arial Narrow"/>
                <w:sz w:val="22"/>
                <w:u w:val="single"/>
              </w:rPr>
              <w:t xml:space="preserve">20 Wochen = </w:t>
            </w:r>
            <w:r w:rsidR="009D669B">
              <w:rPr>
                <w:rFonts w:ascii="Arial Narrow" w:hAnsi="Arial Narrow"/>
                <w:sz w:val="22"/>
                <w:u w:val="single"/>
              </w:rPr>
              <w:t>12.000 mg</w:t>
            </w:r>
          </w:p>
          <w:p w14:paraId="63799FFC" w14:textId="20781B6B" w:rsidR="009D669B" w:rsidRDefault="009D669B" w:rsidP="005D60B6">
            <w:pPr>
              <w:rPr>
                <w:rFonts w:ascii="Arial Narrow" w:hAnsi="Arial Narrow"/>
                <w:sz w:val="22"/>
                <w:u w:val="single"/>
              </w:rPr>
            </w:pPr>
            <w:r>
              <w:rPr>
                <w:rFonts w:ascii="Arial Narrow" w:hAnsi="Arial Narrow"/>
                <w:sz w:val="22"/>
                <w:u w:val="single"/>
              </w:rPr>
              <w:t xml:space="preserve">12.000 mg x 1,55€/mg = </w:t>
            </w:r>
            <w:r w:rsidR="00A84BDC">
              <w:rPr>
                <w:rFonts w:ascii="Arial Narrow" w:hAnsi="Arial Narrow"/>
                <w:sz w:val="22"/>
                <w:u w:val="single"/>
              </w:rPr>
              <w:t>18.600 €</w:t>
            </w:r>
          </w:p>
          <w:p w14:paraId="139E658D" w14:textId="79CDC34B" w:rsidR="00374DD5" w:rsidRPr="00E363F1" w:rsidRDefault="00BD751C" w:rsidP="005D60B6">
            <w:pPr>
              <w:rPr>
                <w:rFonts w:ascii="Arial Narrow" w:hAnsi="Arial Narrow"/>
                <w:sz w:val="22"/>
                <w:u w:val="single"/>
              </w:rPr>
            </w:pPr>
            <w:r>
              <w:rPr>
                <w:rFonts w:ascii="Arial Narrow" w:hAnsi="Arial Narrow"/>
                <w:sz w:val="22"/>
                <w:u w:val="single"/>
              </w:rPr>
              <w:t xml:space="preserve">Die zusätzlichen Kosten im stationären Aufenthalt belaufen sich somit auf ca. 27.280 € für eine sechsmonatige Therapie mit </w:t>
            </w:r>
            <w:proofErr w:type="spellStart"/>
            <w:r>
              <w:rPr>
                <w:rFonts w:ascii="Arial Narrow" w:hAnsi="Arial Narrow"/>
                <w:sz w:val="22"/>
                <w:u w:val="single"/>
              </w:rPr>
              <w:t>Bedaquilin</w:t>
            </w:r>
            <w:proofErr w:type="spellEnd"/>
            <w:r>
              <w:rPr>
                <w:rFonts w:ascii="Arial Narrow" w:hAnsi="Arial Narrow"/>
                <w:sz w:val="22"/>
                <w:u w:val="single"/>
              </w:rPr>
              <w:t xml:space="preserve">. </w:t>
            </w:r>
          </w:p>
          <w:p w14:paraId="05A3FFDF" w14:textId="07BB5CDB" w:rsidR="00C16E13" w:rsidRPr="004C3096" w:rsidRDefault="0081693D" w:rsidP="004C3096">
            <w:pPr>
              <w:rPr>
                <w:rFonts w:ascii="Arial Narrow" w:hAnsi="Arial Narrow"/>
                <w:sz w:val="22"/>
              </w:rPr>
            </w:pPr>
            <w:r>
              <w:rPr>
                <w:rFonts w:ascii="Arial Narrow" w:hAnsi="Arial Narrow"/>
                <w:sz w:val="22"/>
              </w:rPr>
              <w:t>Die Mehrkosten sind ungleich über die Therapie verteilt. Währen</w:t>
            </w:r>
            <w:r w:rsidR="009A5121">
              <w:rPr>
                <w:rFonts w:ascii="Arial Narrow" w:hAnsi="Arial Narrow"/>
                <w:sz w:val="22"/>
              </w:rPr>
              <w:t>d</w:t>
            </w:r>
            <w:r>
              <w:rPr>
                <w:rFonts w:ascii="Arial Narrow" w:hAnsi="Arial Narrow"/>
                <w:sz w:val="22"/>
              </w:rPr>
              <w:t xml:space="preserve"> der regelhaft notwendigen stationären Einleitung der MDR-TB-Therapie ist insbesondere in den ersten </w:t>
            </w:r>
            <w:r w:rsidR="000D7883">
              <w:rPr>
                <w:rFonts w:ascii="Arial Narrow" w:hAnsi="Arial Narrow"/>
                <w:sz w:val="22"/>
              </w:rPr>
              <w:t xml:space="preserve">2 Wochen </w:t>
            </w:r>
            <w:r>
              <w:rPr>
                <w:rFonts w:ascii="Arial Narrow" w:hAnsi="Arial Narrow"/>
                <w:sz w:val="22"/>
              </w:rPr>
              <w:t xml:space="preserve">mit hohen Kosten zu rechnen, da </w:t>
            </w:r>
            <w:proofErr w:type="spellStart"/>
            <w:r>
              <w:rPr>
                <w:rFonts w:ascii="Arial Narrow" w:hAnsi="Arial Narrow"/>
                <w:sz w:val="22"/>
              </w:rPr>
              <w:t>Bedaquilin</w:t>
            </w:r>
            <w:proofErr w:type="spellEnd"/>
            <w:r>
              <w:rPr>
                <w:rFonts w:ascii="Arial Narrow" w:hAnsi="Arial Narrow"/>
                <w:sz w:val="22"/>
              </w:rPr>
              <w:t xml:space="preserve"> in </w:t>
            </w:r>
            <w:r w:rsidR="000D7883">
              <w:rPr>
                <w:rFonts w:ascii="Arial Narrow" w:hAnsi="Arial Narrow"/>
                <w:sz w:val="22"/>
              </w:rPr>
              <w:t xml:space="preserve">diesem Zeitraum </w:t>
            </w:r>
            <w:r>
              <w:rPr>
                <w:rFonts w:ascii="Arial Narrow" w:hAnsi="Arial Narrow"/>
                <w:sz w:val="22"/>
              </w:rPr>
              <w:t xml:space="preserve">aufdosiert werden muss. In dieser </w:t>
            </w:r>
            <w:r w:rsidR="00670E9E">
              <w:rPr>
                <w:rFonts w:ascii="Arial Narrow" w:hAnsi="Arial Narrow"/>
                <w:sz w:val="22"/>
              </w:rPr>
              <w:t xml:space="preserve">Zeit </w:t>
            </w:r>
            <w:r>
              <w:rPr>
                <w:rFonts w:ascii="Arial Narrow" w:hAnsi="Arial Narrow"/>
                <w:sz w:val="22"/>
              </w:rPr>
              <w:t>ist mit Tagestherapiekosten</w:t>
            </w:r>
            <w:r w:rsidR="000A4522">
              <w:rPr>
                <w:rFonts w:ascii="Arial Narrow" w:hAnsi="Arial Narrow"/>
                <w:sz w:val="22"/>
              </w:rPr>
              <w:t xml:space="preserve"> von 620 € zu rechnen.</w:t>
            </w:r>
            <w:r>
              <w:rPr>
                <w:rFonts w:ascii="Arial Narrow" w:hAnsi="Arial Narrow"/>
                <w:sz w:val="22"/>
              </w:rPr>
              <w:t xml:space="preserve"> </w:t>
            </w:r>
            <w:r w:rsidR="000D7883">
              <w:rPr>
                <w:rFonts w:ascii="Arial Narrow" w:hAnsi="Arial Narrow"/>
                <w:sz w:val="22"/>
              </w:rPr>
              <w:t xml:space="preserve">Die Tagestherapiekosten übersteigen insbesondere in den ersten 2 Wochen deutlich die DRG-Fallpauschalen für Tuberkulose ohne die Kosten für Unterbringung und Pflege zu berücksichtigen. Damit ist die Behandlung einer MDR-TB durch die Medikamentenkosten im stationären Bereich nicht kostendeckend durchzuführen. Tagesgleiche Entgelte </w:t>
            </w:r>
            <w:r w:rsidR="008B09CA">
              <w:rPr>
                <w:rFonts w:ascii="Arial Narrow" w:hAnsi="Arial Narrow"/>
                <w:sz w:val="22"/>
              </w:rPr>
              <w:t xml:space="preserve">bei längerem stationärem Aufenthalt werden lokal verhandelt und bleiben in der Regel unter den Tagestherapiekosten. </w:t>
            </w:r>
          </w:p>
          <w:p w14:paraId="25A4510C" w14:textId="77777777" w:rsidR="00A24F2E" w:rsidRDefault="00A24F2E" w:rsidP="005638EB">
            <w:pPr>
              <w:rPr>
                <w:rFonts w:ascii="Arial Narrow" w:hAnsi="Arial Narrow"/>
                <w:sz w:val="22"/>
                <w:u w:val="single"/>
              </w:rPr>
            </w:pPr>
          </w:p>
          <w:p w14:paraId="51062227" w14:textId="6649508E" w:rsidR="00A530BE" w:rsidRDefault="00A530BE" w:rsidP="005638EB">
            <w:pPr>
              <w:rPr>
                <w:rFonts w:ascii="Arial Narrow" w:hAnsi="Arial Narrow"/>
                <w:sz w:val="22"/>
                <w:u w:val="single"/>
              </w:rPr>
            </w:pPr>
            <w:r w:rsidRPr="00304296">
              <w:rPr>
                <w:rFonts w:ascii="Arial Narrow" w:hAnsi="Arial Narrow"/>
                <w:sz w:val="22"/>
                <w:u w:val="single"/>
              </w:rPr>
              <w:t>Personalk</w:t>
            </w:r>
            <w:r w:rsidR="001774E7" w:rsidRPr="00304296">
              <w:rPr>
                <w:rFonts w:ascii="Arial Narrow" w:hAnsi="Arial Narrow"/>
                <w:sz w:val="22"/>
                <w:u w:val="single"/>
              </w:rPr>
              <w:t>osten</w:t>
            </w:r>
          </w:p>
          <w:p w14:paraId="7D03D20B" w14:textId="6361FEB0" w:rsidR="00156FE0" w:rsidRPr="006D0709" w:rsidRDefault="009B24DD" w:rsidP="007A314E">
            <w:pPr>
              <w:rPr>
                <w:rFonts w:ascii="Arial Narrow" w:hAnsi="Arial Narrow"/>
                <w:sz w:val="22"/>
              </w:rPr>
            </w:pPr>
            <w:r w:rsidRPr="009B24DD">
              <w:rPr>
                <w:rFonts w:ascii="Arial Narrow" w:hAnsi="Arial Narrow"/>
                <w:sz w:val="22"/>
                <w:u w:val="single"/>
              </w:rPr>
              <w:t>Für die Applikation: ca. 5 bis 10 Minuten bei überwachter Einnahme (PD).</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3FDE8751" w14:textId="2A981E19" w:rsidR="008E6675" w:rsidRPr="00A100DC" w:rsidRDefault="00D11E5B" w:rsidP="00DF6D06">
            <w:pPr>
              <w:rPr>
                <w:rFonts w:ascii="Arial Narrow" w:hAnsi="Arial Narrow"/>
                <w:color w:val="00B050"/>
                <w:sz w:val="22"/>
              </w:rPr>
            </w:pPr>
            <w:r>
              <w:rPr>
                <w:rFonts w:ascii="Arial Narrow" w:hAnsi="Arial Narrow"/>
                <w:sz w:val="22"/>
              </w:rPr>
              <w:t xml:space="preserve">E76A, </w:t>
            </w:r>
            <w:r w:rsidR="00210E5F">
              <w:rPr>
                <w:rFonts w:ascii="Arial Narrow" w:hAnsi="Arial Narrow"/>
                <w:sz w:val="22"/>
              </w:rPr>
              <w:t xml:space="preserve">E76C, </w:t>
            </w:r>
            <w:r w:rsidR="003F4933">
              <w:rPr>
                <w:rFonts w:ascii="Arial Narrow" w:hAnsi="Arial Narrow"/>
                <w:sz w:val="22"/>
              </w:rPr>
              <w:t>E76B</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5C3397CC" w14:textId="69EDB1B1" w:rsidR="00AF69C9" w:rsidRDefault="00AF69C9" w:rsidP="008C1686">
            <w:pPr>
              <w:rPr>
                <w:rFonts w:ascii="Arial Narrow" w:hAnsi="Arial Narrow"/>
                <w:sz w:val="22"/>
              </w:rPr>
            </w:pPr>
            <w:proofErr w:type="spellStart"/>
            <w:r>
              <w:rPr>
                <w:rFonts w:ascii="Arial Narrow" w:hAnsi="Arial Narrow"/>
                <w:sz w:val="22"/>
              </w:rPr>
              <w:t>Bedaquilin</w:t>
            </w:r>
            <w:proofErr w:type="spellEnd"/>
            <w:r>
              <w:rPr>
                <w:rFonts w:ascii="Arial Narrow" w:hAnsi="Arial Narrow"/>
                <w:sz w:val="22"/>
              </w:rPr>
              <w:t xml:space="preserve"> wurde 2014 zugelassen und ist seit dem Jahr 2014 in Deutschland auf dem Markt.</w:t>
            </w:r>
          </w:p>
          <w:p w14:paraId="140D583A" w14:textId="5E9E7182" w:rsidR="008E6675" w:rsidRPr="00017C77" w:rsidRDefault="001774E7" w:rsidP="008C1686">
            <w:pPr>
              <w:rPr>
                <w:rFonts w:ascii="Arial Narrow" w:hAnsi="Arial Narrow"/>
                <w:sz w:val="22"/>
              </w:rPr>
            </w:pPr>
            <w:r w:rsidRPr="00017C77">
              <w:rPr>
                <w:rFonts w:ascii="Arial Narrow" w:hAnsi="Arial Narrow"/>
                <w:sz w:val="22"/>
              </w:rPr>
              <w:t>Für das Datenjahr 202</w:t>
            </w:r>
            <w:r w:rsidR="009F0C11" w:rsidRPr="00017C77">
              <w:rPr>
                <w:rFonts w:ascii="Arial Narrow" w:hAnsi="Arial Narrow"/>
                <w:sz w:val="22"/>
              </w:rPr>
              <w:t>4</w:t>
            </w:r>
            <w:r w:rsidR="008E6675" w:rsidRPr="00017C77">
              <w:rPr>
                <w:rFonts w:ascii="Arial Narrow" w:hAnsi="Arial Narrow"/>
                <w:sz w:val="22"/>
              </w:rPr>
              <w:t xml:space="preserve"> sollten </w:t>
            </w:r>
            <w:r w:rsidR="006549F4" w:rsidRPr="00017C77">
              <w:rPr>
                <w:rFonts w:ascii="Arial Narrow" w:hAnsi="Arial Narrow"/>
                <w:sz w:val="22"/>
              </w:rPr>
              <w:t xml:space="preserve">aus den Kalkulationshäusern </w:t>
            </w:r>
            <w:r w:rsidR="008E6675" w:rsidRPr="00017C77">
              <w:rPr>
                <w:rFonts w:ascii="Arial Narrow" w:hAnsi="Arial Narrow"/>
                <w:sz w:val="22"/>
              </w:rPr>
              <w:t xml:space="preserve">Kostendaten für den Einsatz vorliegen. </w:t>
            </w:r>
          </w:p>
          <w:p w14:paraId="5EFE7220" w14:textId="7F756DE7" w:rsidR="008E6675" w:rsidRPr="00017C77" w:rsidRDefault="008E6675" w:rsidP="008C1686">
            <w:pPr>
              <w:rPr>
                <w:rFonts w:ascii="Arial Narrow" w:hAnsi="Arial Narrow"/>
                <w:sz w:val="22"/>
              </w:rPr>
            </w:pPr>
            <w:r w:rsidRPr="00017C77">
              <w:rPr>
                <w:rFonts w:ascii="Arial Narrow" w:hAnsi="Arial Narrow"/>
                <w:sz w:val="22"/>
              </w:rPr>
              <w:t xml:space="preserve">Wir vermuten, dass </w:t>
            </w:r>
            <w:r w:rsidR="00A24F2E" w:rsidRPr="00017C77">
              <w:rPr>
                <w:rFonts w:ascii="Arial Narrow" w:hAnsi="Arial Narrow"/>
                <w:sz w:val="22"/>
              </w:rPr>
              <w:t>Fallzahlen</w:t>
            </w:r>
            <w:r w:rsidR="00A100DC" w:rsidRPr="00017C77">
              <w:rPr>
                <w:rFonts w:ascii="Arial Narrow" w:hAnsi="Arial Narrow"/>
                <w:sz w:val="22"/>
              </w:rPr>
              <w:t xml:space="preserve"> zu klein </w:t>
            </w:r>
            <w:r w:rsidR="00AF28EC" w:rsidRPr="00017C77">
              <w:rPr>
                <w:rFonts w:ascii="Arial Narrow" w:hAnsi="Arial Narrow"/>
                <w:sz w:val="22"/>
              </w:rPr>
              <w:t>waren</w:t>
            </w:r>
            <w:r w:rsidRPr="00017C77">
              <w:rPr>
                <w:rFonts w:ascii="Arial Narrow" w:hAnsi="Arial Narrow"/>
                <w:sz w:val="22"/>
              </w:rPr>
              <w:t>, als dass genügend Kosten- und Leistungsinformationen aus den Krankenhäusern vorliegen, um damit eine sachgerechte Abbildung im G-DRG System 20</w:t>
            </w:r>
            <w:r w:rsidR="001774E7" w:rsidRPr="00017C77">
              <w:rPr>
                <w:rFonts w:ascii="Arial Narrow" w:hAnsi="Arial Narrow"/>
                <w:sz w:val="22"/>
              </w:rPr>
              <w:t>2</w:t>
            </w:r>
            <w:r w:rsidR="009F0C11" w:rsidRPr="00017C77">
              <w:rPr>
                <w:rFonts w:ascii="Arial Narrow" w:hAnsi="Arial Narrow"/>
                <w:sz w:val="22"/>
              </w:rPr>
              <w:t>6</w:t>
            </w:r>
            <w:r w:rsidRPr="00017C77">
              <w:rPr>
                <w:rFonts w:ascii="Arial Narrow" w:hAnsi="Arial Narrow"/>
                <w:sz w:val="22"/>
              </w:rPr>
              <w:t xml:space="preserve"> zu ermöglichen.</w:t>
            </w:r>
            <w:r w:rsidR="00407A0B" w:rsidRPr="00017C77">
              <w:rPr>
                <w:rFonts w:ascii="Arial Narrow" w:hAnsi="Arial Narrow"/>
                <w:sz w:val="22"/>
              </w:rPr>
              <w:t xml:space="preserve"> </w:t>
            </w:r>
          </w:p>
          <w:p w14:paraId="0BE9C89F" w14:textId="44F3E211" w:rsidR="0033565D" w:rsidRPr="0033565D" w:rsidRDefault="0033565D" w:rsidP="0033565D">
            <w:pPr>
              <w:rPr>
                <w:rFonts w:ascii="Arial Narrow" w:hAnsi="Arial Narrow"/>
                <w:sz w:val="22"/>
              </w:rPr>
            </w:pPr>
            <w:r w:rsidRPr="00017C77">
              <w:rPr>
                <w:rFonts w:ascii="Arial Narrow" w:hAnsi="Arial Narrow"/>
                <w:sz w:val="22"/>
              </w:rPr>
              <w:t>Zu</w:t>
            </w:r>
            <w:r w:rsidR="000E18EF" w:rsidRPr="00017C77">
              <w:rPr>
                <w:rFonts w:ascii="Arial Narrow" w:hAnsi="Arial Narrow"/>
                <w:sz w:val="22"/>
              </w:rPr>
              <w:t>dem</w:t>
            </w:r>
            <w:r w:rsidRPr="00017C77">
              <w:rPr>
                <w:rFonts w:ascii="Arial Narrow" w:hAnsi="Arial Narrow"/>
                <w:sz w:val="22"/>
              </w:rPr>
              <w:t xml:space="preserve"> existiert kein OPS-Kode, weshalb eine patientenspezifische Rückverfolgung</w:t>
            </w:r>
            <w:r w:rsidRPr="0033565D">
              <w:rPr>
                <w:rFonts w:ascii="Arial Narrow" w:hAnsi="Arial Narrow"/>
                <w:sz w:val="22"/>
              </w:rPr>
              <w:t xml:space="preserve"> nicht möglich ist. </w:t>
            </w:r>
          </w:p>
          <w:p w14:paraId="63F343FC" w14:textId="069B1DA0" w:rsidR="008E6675" w:rsidRDefault="008E6675" w:rsidP="00B2756A">
            <w:pPr>
              <w:rPr>
                <w:rFonts w:ascii="Arial Narrow" w:hAnsi="Arial Narrow"/>
                <w:sz w:val="22"/>
              </w:rPr>
            </w:pPr>
            <w:r w:rsidRPr="00ED4386">
              <w:rPr>
                <w:rFonts w:ascii="Arial Narrow" w:hAnsi="Arial Narrow"/>
                <w:sz w:val="22"/>
              </w:rPr>
              <w:t xml:space="preserve">Die </w:t>
            </w:r>
            <w:r w:rsidR="00B57ADF">
              <w:rPr>
                <w:rFonts w:ascii="Arial Narrow" w:hAnsi="Arial Narrow"/>
                <w:sz w:val="22"/>
              </w:rPr>
              <w:t>Medikamentenk</w:t>
            </w:r>
            <w:r w:rsidRPr="00ED4386">
              <w:rPr>
                <w:rFonts w:ascii="Arial Narrow" w:hAnsi="Arial Narrow"/>
                <w:sz w:val="22"/>
              </w:rPr>
              <w:t>osten</w:t>
            </w:r>
            <w:r w:rsidR="00E87805">
              <w:rPr>
                <w:rFonts w:ascii="Arial Narrow" w:hAnsi="Arial Narrow"/>
                <w:sz w:val="22"/>
              </w:rPr>
              <w:t xml:space="preserve"> </w:t>
            </w:r>
            <w:r w:rsidRPr="00ED4386">
              <w:rPr>
                <w:rFonts w:ascii="Arial Narrow" w:hAnsi="Arial Narrow"/>
                <w:sz w:val="22"/>
              </w:rPr>
              <w:t xml:space="preserve">können mit </w:t>
            </w:r>
            <w:r w:rsidR="00A100DC" w:rsidRPr="00ED4386">
              <w:rPr>
                <w:rFonts w:ascii="Arial Narrow" w:hAnsi="Arial Narrow"/>
                <w:sz w:val="22"/>
              </w:rPr>
              <w:t>den o.g.</w:t>
            </w:r>
            <w:r w:rsidRPr="00ED4386">
              <w:rPr>
                <w:rFonts w:ascii="Arial Narrow" w:hAnsi="Arial Narrow"/>
                <w:sz w:val="22"/>
              </w:rPr>
              <w:t xml:space="preserve"> Fallpauschale</w:t>
            </w:r>
            <w:r w:rsidR="00A100DC" w:rsidRPr="00ED4386">
              <w:rPr>
                <w:rFonts w:ascii="Arial Narrow" w:hAnsi="Arial Narrow"/>
                <w:sz w:val="22"/>
              </w:rPr>
              <w:t>n</w:t>
            </w:r>
            <w:r w:rsidRPr="00ED4386">
              <w:rPr>
                <w:rFonts w:ascii="Arial Narrow" w:hAnsi="Arial Narrow"/>
                <w:sz w:val="22"/>
              </w:rPr>
              <w:t xml:space="preserve"> </w:t>
            </w:r>
            <w:r w:rsidR="00B57ADF">
              <w:rPr>
                <w:rFonts w:ascii="Arial Narrow" w:hAnsi="Arial Narrow"/>
                <w:sz w:val="22"/>
              </w:rPr>
              <w:t xml:space="preserve">oder tagesgleichen Entgelten </w:t>
            </w:r>
            <w:r w:rsidRPr="00ED4386">
              <w:rPr>
                <w:rFonts w:ascii="Arial Narrow" w:hAnsi="Arial Narrow"/>
                <w:sz w:val="22"/>
              </w:rPr>
              <w:t>allein nicht ausreichend abgebildet werden</w:t>
            </w:r>
            <w:r w:rsidR="00D65686">
              <w:rPr>
                <w:rFonts w:ascii="Arial Narrow" w:hAnsi="Arial Narrow"/>
                <w:sz w:val="22"/>
              </w:rPr>
              <w:t xml:space="preserve"> und </w:t>
            </w:r>
            <w:proofErr w:type="spellStart"/>
            <w:r w:rsidR="00A24F2E">
              <w:rPr>
                <w:rFonts w:ascii="Arial Narrow" w:hAnsi="Arial Narrow"/>
                <w:sz w:val="22"/>
                <w:szCs w:val="22"/>
              </w:rPr>
              <w:t>Bedaquilin</w:t>
            </w:r>
            <w:proofErr w:type="spellEnd"/>
            <w:r w:rsidR="00A24F2E">
              <w:rPr>
                <w:rFonts w:ascii="Arial Narrow" w:hAnsi="Arial Narrow"/>
                <w:sz w:val="22"/>
                <w:szCs w:val="22"/>
              </w:rPr>
              <w:t xml:space="preserve"> </w:t>
            </w:r>
            <w:r w:rsidRPr="00ED4386">
              <w:rPr>
                <w:rFonts w:ascii="Arial Narrow" w:hAnsi="Arial Narrow"/>
                <w:sz w:val="22"/>
              </w:rPr>
              <w:t xml:space="preserve">ist im </w:t>
            </w:r>
            <w:r w:rsidR="00B57ADF" w:rsidRPr="00B57ADF">
              <w:rPr>
                <w:rFonts w:ascii="Arial Narrow" w:hAnsi="Arial Narrow"/>
                <w:sz w:val="22"/>
              </w:rPr>
              <w:t>Zusatzentgelte-Katalog 202</w:t>
            </w:r>
            <w:r w:rsidR="00F16212">
              <w:rPr>
                <w:rFonts w:ascii="Arial Narrow" w:hAnsi="Arial Narrow"/>
                <w:sz w:val="22"/>
              </w:rPr>
              <w:t>5</w:t>
            </w:r>
            <w:r w:rsidRPr="00ED4386">
              <w:rPr>
                <w:rFonts w:ascii="Arial Narrow" w:hAnsi="Arial Narrow"/>
                <w:sz w:val="22"/>
              </w:rPr>
              <w:t xml:space="preserve"> nicht enthalten. Aufgrund der hohen Kosten des Medikaments kommt es zu einer </w:t>
            </w:r>
            <w:r w:rsidR="00CB3CA3" w:rsidRPr="00ED4386">
              <w:rPr>
                <w:rFonts w:ascii="Arial Narrow" w:hAnsi="Arial Narrow"/>
                <w:sz w:val="22"/>
              </w:rPr>
              <w:t>Unterfinanzierung</w:t>
            </w:r>
            <w:r w:rsidRPr="00ED4386">
              <w:rPr>
                <w:rFonts w:ascii="Arial Narrow" w:hAnsi="Arial Narrow"/>
                <w:sz w:val="22"/>
              </w:rPr>
              <w:t xml:space="preserve"> in </w:t>
            </w:r>
            <w:r w:rsidR="00A100DC" w:rsidRPr="00ED4386">
              <w:rPr>
                <w:rFonts w:ascii="Arial Narrow" w:hAnsi="Arial Narrow"/>
                <w:sz w:val="22"/>
              </w:rPr>
              <w:t>den</w:t>
            </w:r>
            <w:r w:rsidRPr="00ED4386">
              <w:rPr>
                <w:rFonts w:ascii="Arial Narrow" w:hAnsi="Arial Narrow"/>
                <w:sz w:val="22"/>
              </w:rPr>
              <w:t xml:space="preserve"> betroffenen DRG</w:t>
            </w:r>
            <w:r w:rsidR="00B2756A">
              <w:rPr>
                <w:rFonts w:ascii="Arial Narrow" w:hAnsi="Arial Narrow"/>
                <w:sz w:val="22"/>
              </w:rPr>
              <w:t>s.</w:t>
            </w:r>
            <w:r w:rsidR="00F757B1">
              <w:rPr>
                <w:rFonts w:ascii="Arial Narrow" w:hAnsi="Arial Narrow"/>
                <w:sz w:val="22"/>
              </w:rPr>
              <w:t xml:space="preserve"> </w:t>
            </w:r>
          </w:p>
          <w:p w14:paraId="222643B9" w14:textId="38B785F6" w:rsidR="00DD253B" w:rsidRPr="00ED4386" w:rsidRDefault="002E5ECA" w:rsidP="002F28AD">
            <w:pPr>
              <w:rPr>
                <w:rFonts w:ascii="Arial Narrow" w:hAnsi="Arial Narrow"/>
                <w:sz w:val="22"/>
              </w:rPr>
            </w:pPr>
            <w:r w:rsidRPr="002E5ECA">
              <w:rPr>
                <w:rFonts w:ascii="Arial Narrow" w:hAnsi="Arial Narrow"/>
                <w:sz w:val="22"/>
              </w:rPr>
              <w:t>Das derzeitige G-DRG-</w:t>
            </w:r>
            <w:proofErr w:type="spellStart"/>
            <w:r w:rsidRPr="002E5ECA">
              <w:rPr>
                <w:rFonts w:ascii="Arial Narrow" w:hAnsi="Arial Narrow"/>
                <w:sz w:val="22"/>
              </w:rPr>
              <w:t>Fallpauschalensystem</w:t>
            </w:r>
            <w:proofErr w:type="spellEnd"/>
            <w:r w:rsidRPr="002E5ECA">
              <w:rPr>
                <w:rFonts w:ascii="Arial Narrow" w:hAnsi="Arial Narrow"/>
                <w:sz w:val="22"/>
              </w:rPr>
              <w:t xml:space="preserve"> bildet die Behandlung einer nicht-resistenten Tuberkulose mit vergleichsweise geringen Arzneimittelkosten adäquat ab, berücksichtigt jedoch die erheblich höheren Medikamentenkosten bei resistenten Tuberkuloseformen unzureichend. Dieser strukturelle Fehlanreiz kann dazu führen, dass komplexere, medikamentenresistente Fälle nicht im erforderlichen Umfang versorgt werden, da ihre Behandlung unter den bestehenden Bedingungen nicht kostendeckend ist. Eine angemessene Refinanzierung der stationären Therapie, insbesondere mit wirksamen und gut verträglichen Medikamenten, ist daher von zentraler Bedeutung, um die Versorgung resistenter Tuberkuloseformen sicherzustellen und einer weiteren Verbreitung resistenter Tuberkuloseerreger vorzubeugen.</w:t>
            </w:r>
          </w:p>
        </w:tc>
      </w:tr>
    </w:tbl>
    <w:p w14:paraId="39D0EFBA" w14:textId="77777777" w:rsidR="00145E7F" w:rsidRDefault="00145E7F" w:rsidP="005638EB">
      <w:pPr>
        <w:rPr>
          <w:rFonts w:ascii="Arial Narrow" w:hAnsi="Arial Narrow"/>
        </w:rPr>
      </w:pPr>
    </w:p>
    <w:p w14:paraId="0A50A959" w14:textId="6B1C4F6C" w:rsidR="008E6675" w:rsidRPr="005638EB" w:rsidRDefault="008E6675" w:rsidP="005638EB">
      <w:pPr>
        <w:rPr>
          <w:rFonts w:ascii="Arial Narrow" w:hAnsi="Arial Narrow"/>
        </w:rPr>
      </w:pPr>
    </w:p>
    <w:sectPr w:rsidR="008E6675" w:rsidRPr="005638EB" w:rsidSect="004E1D0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2EF7" w14:textId="77777777" w:rsidR="00156B4E" w:rsidRDefault="00156B4E">
      <w:r>
        <w:separator/>
      </w:r>
    </w:p>
  </w:endnote>
  <w:endnote w:type="continuationSeparator" w:id="0">
    <w:p w14:paraId="32022F70" w14:textId="77777777" w:rsidR="00156B4E" w:rsidRDefault="00156B4E">
      <w:r>
        <w:continuationSeparator/>
      </w:r>
    </w:p>
  </w:endnote>
  <w:endnote w:type="continuationNotice" w:id="1">
    <w:p w14:paraId="4C8E8B63" w14:textId="77777777" w:rsidR="00156B4E" w:rsidRDefault="00156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1DD8" w14:textId="77777777" w:rsidR="00176AB4" w:rsidRDefault="00176AB4" w:rsidP="00947665">
    <w:pPr>
      <w:pStyle w:val="Footer"/>
      <w:rPr>
        <w:rFonts w:ascii="Arial Narrow" w:hAnsi="Arial Narrow" w:cs="Arial"/>
        <w:sz w:val="18"/>
        <w:szCs w:val="18"/>
      </w:rPr>
    </w:pPr>
  </w:p>
  <w:p w14:paraId="149E9F96" w14:textId="2D609606" w:rsidR="00947665" w:rsidRPr="004F0DB7" w:rsidRDefault="00947665" w:rsidP="00947665">
    <w:pPr>
      <w:pStyle w:val="Footer"/>
      <w:rPr>
        <w:rFonts w:ascii="Arial Narrow" w:hAnsi="Arial Narrow" w:cs="Arial"/>
        <w:sz w:val="18"/>
        <w:szCs w:val="18"/>
      </w:rPr>
    </w:pPr>
    <w:r w:rsidRPr="004F0DB7">
      <w:rPr>
        <w:rFonts w:ascii="Arial Narrow" w:hAnsi="Arial Narrow" w:cs="Arial"/>
        <w:sz w:val="18"/>
        <w:szCs w:val="18"/>
      </w:rPr>
      <w:t>NUB-</w:t>
    </w:r>
    <w:r w:rsidR="00F5347B">
      <w:rPr>
        <w:rFonts w:ascii="Arial Narrow" w:hAnsi="Arial Narrow" w:cs="Arial"/>
        <w:sz w:val="18"/>
        <w:szCs w:val="18"/>
      </w:rPr>
      <w:t xml:space="preserve">Antrag </w:t>
    </w:r>
    <w:proofErr w:type="spellStart"/>
    <w:r w:rsidR="00F5347B">
      <w:rPr>
        <w:rFonts w:ascii="Arial Narrow" w:hAnsi="Arial Narrow" w:cs="Arial"/>
        <w:sz w:val="18"/>
        <w:szCs w:val="18"/>
      </w:rPr>
      <w:t>Bedaquilin</w:t>
    </w:r>
    <w:proofErr w:type="spellEnd"/>
  </w:p>
  <w:p w14:paraId="245CF2C5" w14:textId="576D0B39" w:rsidR="00947665" w:rsidRPr="004F0DB7" w:rsidRDefault="00846797" w:rsidP="00947665">
    <w:pPr>
      <w:pStyle w:val="Footer"/>
      <w:rPr>
        <w:rFonts w:ascii="Arial Narrow" w:hAnsi="Arial Narrow" w:cs="Arial"/>
        <w:sz w:val="18"/>
        <w:szCs w:val="18"/>
      </w:rPr>
    </w:pPr>
    <w:r w:rsidRPr="00846797">
      <w:rPr>
        <w:rFonts w:ascii="Arial Narrow" w:hAnsi="Arial Narrow" w:cs="Arial"/>
        <w:sz w:val="18"/>
        <w:szCs w:val="18"/>
      </w:rPr>
      <w:t>Deutsche</w:t>
    </w:r>
    <w:r>
      <w:rPr>
        <w:rFonts w:ascii="Arial Narrow" w:hAnsi="Arial Narrow" w:cs="Arial"/>
        <w:sz w:val="18"/>
        <w:szCs w:val="18"/>
      </w:rPr>
      <w:t>s</w:t>
    </w:r>
    <w:r w:rsidRPr="00846797">
      <w:rPr>
        <w:rFonts w:ascii="Arial Narrow" w:hAnsi="Arial Narrow" w:cs="Arial"/>
        <w:sz w:val="18"/>
        <w:szCs w:val="18"/>
      </w:rPr>
      <w:t xml:space="preserve"> Zentralkomitee zur Bekämpfung der Tuberkulose (DZK) e. V. </w:t>
    </w:r>
    <w:r>
      <w:rPr>
        <w:rFonts w:ascii="Arial Narrow" w:hAnsi="Arial Narrow" w:cs="Arial"/>
        <w:sz w:val="18"/>
        <w:szCs w:val="18"/>
      </w:rPr>
      <w:t xml:space="preserve">/ </w:t>
    </w:r>
    <w:r w:rsidRPr="00846797">
      <w:rPr>
        <w:rFonts w:ascii="Arial Narrow" w:hAnsi="Arial Narrow" w:cs="Arial"/>
        <w:sz w:val="18"/>
        <w:szCs w:val="18"/>
      </w:rPr>
      <w:t xml:space="preserve">Deutsche Gesellschaft für Pneumologie (DGP) </w:t>
    </w:r>
    <w:r>
      <w:rPr>
        <w:rFonts w:ascii="Arial Narrow" w:hAnsi="Arial Narrow" w:cs="Arial"/>
        <w:sz w:val="18"/>
        <w:szCs w:val="18"/>
      </w:rPr>
      <w:t>und</w:t>
    </w:r>
    <w:r>
      <w:rPr>
        <w:rFonts w:ascii="Arial Narrow" w:hAnsi="Arial Narrow" w:cs="Arial"/>
        <w:sz w:val="18"/>
        <w:szCs w:val="18"/>
      </w:rPr>
      <w:br/>
    </w:r>
    <w:r w:rsidR="00947665" w:rsidRPr="00EF5B18">
      <w:rPr>
        <w:rFonts w:ascii="Arial Narrow" w:hAnsi="Arial Narrow" w:cs="Arial"/>
        <w:sz w:val="18"/>
        <w:szCs w:val="18"/>
      </w:rPr>
      <w:t>Deutsche Gesellschaft für Infektiologie e. V</w:t>
    </w:r>
    <w:r>
      <w:rPr>
        <w:rFonts w:ascii="Arial Narrow" w:hAnsi="Arial Narrow" w:cs="Arial"/>
        <w:sz w:val="18"/>
        <w:szCs w:val="18"/>
      </w:rPr>
      <w:t>.</w:t>
    </w:r>
    <w:r w:rsidRPr="004F0DB7">
      <w:rPr>
        <w:rFonts w:ascii="Arial Narrow" w:hAnsi="Arial Narrow" w:cs="Arial"/>
        <w:sz w:val="18"/>
        <w:szCs w:val="18"/>
      </w:rPr>
      <w:t xml:space="preserve"> </w:t>
    </w:r>
  </w:p>
  <w:p w14:paraId="6E7C81DA" w14:textId="4E2D0C01" w:rsidR="00F64982" w:rsidRPr="00BD2250" w:rsidRDefault="00F64982" w:rsidP="00BD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E25D" w14:textId="77777777" w:rsidR="00156B4E" w:rsidRDefault="00156B4E">
      <w:r>
        <w:separator/>
      </w:r>
    </w:p>
  </w:footnote>
  <w:footnote w:type="continuationSeparator" w:id="0">
    <w:p w14:paraId="287409E5" w14:textId="77777777" w:rsidR="00156B4E" w:rsidRDefault="00156B4E">
      <w:r>
        <w:continuationSeparator/>
      </w:r>
    </w:p>
  </w:footnote>
  <w:footnote w:type="continuationNotice" w:id="1">
    <w:p w14:paraId="1EBA86F2" w14:textId="77777777" w:rsidR="00156B4E" w:rsidRDefault="00156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6DEF" w14:textId="77777777" w:rsidR="003F2482" w:rsidRDefault="00F64982" w:rsidP="00FE2CB9">
    <w:pPr>
      <w:pStyle w:val="Title"/>
      <w:rPr>
        <w:sz w:val="48"/>
      </w:rPr>
    </w:pPr>
    <w:r w:rsidRPr="004C4F82">
      <w:rPr>
        <w:sz w:val="48"/>
      </w:rPr>
      <w:t>NUB</w:t>
    </w:r>
    <w:r w:rsidR="00FE2CB9">
      <w:rPr>
        <w:sz w:val="48"/>
      </w:rPr>
      <w:t>-</w:t>
    </w:r>
    <w:r w:rsidRPr="004C4F82">
      <w:rPr>
        <w:sz w:val="48"/>
      </w:rPr>
      <w:t>Antrag 20</w:t>
    </w:r>
    <w:r>
      <w:rPr>
        <w:sz w:val="48"/>
      </w:rPr>
      <w:t>2</w:t>
    </w:r>
    <w:r w:rsidR="00811890">
      <w:rPr>
        <w:sz w:val="48"/>
      </w:rPr>
      <w:t>5</w:t>
    </w:r>
    <w:r w:rsidRPr="004C4F82">
      <w:rPr>
        <w:sz w:val="48"/>
      </w:rPr>
      <w:t>/20</w:t>
    </w:r>
    <w:r>
      <w:rPr>
        <w:sz w:val="48"/>
      </w:rPr>
      <w:t>2</w:t>
    </w:r>
    <w:r w:rsidR="00811890">
      <w:rPr>
        <w:sz w:val="48"/>
      </w:rPr>
      <w:t>6</w:t>
    </w:r>
    <w:r w:rsidR="00FE2CB9">
      <w:rPr>
        <w:sz w:val="48"/>
      </w:rPr>
      <w:t xml:space="preserve"> </w:t>
    </w:r>
  </w:p>
  <w:p w14:paraId="50423937" w14:textId="5FBD1639" w:rsidR="00FE2CB9" w:rsidRPr="00FE2CB9" w:rsidRDefault="00FE2CB9" w:rsidP="00FE2CB9">
    <w:pPr>
      <w:pStyle w:val="Title"/>
      <w:rPr>
        <w:sz w:val="48"/>
      </w:rPr>
    </w:pPr>
    <w:proofErr w:type="spellStart"/>
    <w:r>
      <w:rPr>
        <w:sz w:val="48"/>
      </w:rPr>
      <w:t>Bedaquilin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5FD36725"/>
    <w:multiLevelType w:val="hybridMultilevel"/>
    <w:tmpl w:val="CDC0C46A"/>
    <w:lvl w:ilvl="0" w:tplc="4D2AD722">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10"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89130881">
    <w:abstractNumId w:val="0"/>
  </w:num>
  <w:num w:numId="2" w16cid:durableId="708455479">
    <w:abstractNumId w:val="10"/>
  </w:num>
  <w:num w:numId="3" w16cid:durableId="232545921">
    <w:abstractNumId w:val="5"/>
  </w:num>
  <w:num w:numId="4" w16cid:durableId="239097657">
    <w:abstractNumId w:val="3"/>
  </w:num>
  <w:num w:numId="5" w16cid:durableId="2060202043">
    <w:abstractNumId w:val="9"/>
  </w:num>
  <w:num w:numId="6" w16cid:durableId="2051613384">
    <w:abstractNumId w:val="2"/>
  </w:num>
  <w:num w:numId="7" w16cid:durableId="1167667027">
    <w:abstractNumId w:val="7"/>
  </w:num>
  <w:num w:numId="8" w16cid:durableId="732390129">
    <w:abstractNumId w:val="4"/>
  </w:num>
  <w:num w:numId="9" w16cid:durableId="355159951">
    <w:abstractNumId w:val="1"/>
  </w:num>
  <w:num w:numId="10" w16cid:durableId="188953994">
    <w:abstractNumId w:val="6"/>
  </w:num>
  <w:num w:numId="11" w16cid:durableId="1143044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NjS2tDAwMjQ1NjBU0lEKTi0uzszPAykwqgUAVwD9uywAAAA="/>
    <w:docVar w:name="dgnword-docGUID" w:val="{1E794084-83B0-4B46-BD37-262E0589DDB9}"/>
    <w:docVar w:name="dgnword-eventsink" w:val="507668536"/>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2erxts1ev9prevs9ovxdvv59fpxzp550vs&quot;&gt;info@dzk-tuberkulose.de&lt;record-ids&gt;&lt;item&gt;810&lt;/item&gt;&lt;item&gt;827&lt;/item&gt;&lt;item&gt;830&lt;/item&gt;&lt;item&gt;832&lt;/item&gt;&lt;item&gt;921&lt;/item&gt;&lt;item&gt;943&lt;/item&gt;&lt;item&gt;946&lt;/item&gt;&lt;/record-ids&gt;&lt;/item&gt;&lt;/Libraries&gt;"/>
  </w:docVars>
  <w:rsids>
    <w:rsidRoot w:val="00234FB1"/>
    <w:rsid w:val="0000751F"/>
    <w:rsid w:val="0001039F"/>
    <w:rsid w:val="00015BCA"/>
    <w:rsid w:val="00017C77"/>
    <w:rsid w:val="00024651"/>
    <w:rsid w:val="00024C5E"/>
    <w:rsid w:val="0003265D"/>
    <w:rsid w:val="00033645"/>
    <w:rsid w:val="00033C6B"/>
    <w:rsid w:val="000405D3"/>
    <w:rsid w:val="0004094A"/>
    <w:rsid w:val="00044597"/>
    <w:rsid w:val="000477BE"/>
    <w:rsid w:val="000604D7"/>
    <w:rsid w:val="00061CA3"/>
    <w:rsid w:val="00064146"/>
    <w:rsid w:val="000653FB"/>
    <w:rsid w:val="00065A38"/>
    <w:rsid w:val="00072A33"/>
    <w:rsid w:val="0007581F"/>
    <w:rsid w:val="00077775"/>
    <w:rsid w:val="00081560"/>
    <w:rsid w:val="00092111"/>
    <w:rsid w:val="00093962"/>
    <w:rsid w:val="000953D2"/>
    <w:rsid w:val="000A4522"/>
    <w:rsid w:val="000B2256"/>
    <w:rsid w:val="000B5642"/>
    <w:rsid w:val="000C1EB4"/>
    <w:rsid w:val="000C704A"/>
    <w:rsid w:val="000D7883"/>
    <w:rsid w:val="000E18EF"/>
    <w:rsid w:val="00101299"/>
    <w:rsid w:val="00104C97"/>
    <w:rsid w:val="0010740A"/>
    <w:rsid w:val="00114B37"/>
    <w:rsid w:val="0011503B"/>
    <w:rsid w:val="00120273"/>
    <w:rsid w:val="0012502D"/>
    <w:rsid w:val="001273B3"/>
    <w:rsid w:val="001439AA"/>
    <w:rsid w:val="00145E7F"/>
    <w:rsid w:val="00156B4E"/>
    <w:rsid w:val="00156FE0"/>
    <w:rsid w:val="001570EE"/>
    <w:rsid w:val="00166DC8"/>
    <w:rsid w:val="0017096C"/>
    <w:rsid w:val="00173241"/>
    <w:rsid w:val="00174C48"/>
    <w:rsid w:val="00174C6A"/>
    <w:rsid w:val="00176AB4"/>
    <w:rsid w:val="00176C8F"/>
    <w:rsid w:val="001774E7"/>
    <w:rsid w:val="00182EB8"/>
    <w:rsid w:val="0019482C"/>
    <w:rsid w:val="001A0751"/>
    <w:rsid w:val="001A7AC7"/>
    <w:rsid w:val="001B462F"/>
    <w:rsid w:val="001B7FBA"/>
    <w:rsid w:val="001C19CA"/>
    <w:rsid w:val="001D086D"/>
    <w:rsid w:val="001D4B3B"/>
    <w:rsid w:val="001E3219"/>
    <w:rsid w:val="001E5762"/>
    <w:rsid w:val="001E68E3"/>
    <w:rsid w:val="001F4753"/>
    <w:rsid w:val="001F4D20"/>
    <w:rsid w:val="001F7B7D"/>
    <w:rsid w:val="002005AF"/>
    <w:rsid w:val="00210E5F"/>
    <w:rsid w:val="00217A13"/>
    <w:rsid w:val="002333FF"/>
    <w:rsid w:val="00234FB1"/>
    <w:rsid w:val="0024039E"/>
    <w:rsid w:val="0024723A"/>
    <w:rsid w:val="00252ECB"/>
    <w:rsid w:val="0025462E"/>
    <w:rsid w:val="00254749"/>
    <w:rsid w:val="00256B7C"/>
    <w:rsid w:val="00275741"/>
    <w:rsid w:val="0028432D"/>
    <w:rsid w:val="00285AE4"/>
    <w:rsid w:val="00291624"/>
    <w:rsid w:val="002A5B33"/>
    <w:rsid w:val="002D1E5F"/>
    <w:rsid w:val="002D7403"/>
    <w:rsid w:val="002D75CE"/>
    <w:rsid w:val="002E5E26"/>
    <w:rsid w:val="002E5ECA"/>
    <w:rsid w:val="002F28AD"/>
    <w:rsid w:val="002F6CB9"/>
    <w:rsid w:val="00303D53"/>
    <w:rsid w:val="00304296"/>
    <w:rsid w:val="00305016"/>
    <w:rsid w:val="003159D7"/>
    <w:rsid w:val="003266D6"/>
    <w:rsid w:val="00332253"/>
    <w:rsid w:val="00335246"/>
    <w:rsid w:val="0033565D"/>
    <w:rsid w:val="003479E5"/>
    <w:rsid w:val="0036178C"/>
    <w:rsid w:val="0036325A"/>
    <w:rsid w:val="00370734"/>
    <w:rsid w:val="00374DD5"/>
    <w:rsid w:val="00383550"/>
    <w:rsid w:val="0038691B"/>
    <w:rsid w:val="003963C1"/>
    <w:rsid w:val="003A5F97"/>
    <w:rsid w:val="003A69B7"/>
    <w:rsid w:val="003A6DF3"/>
    <w:rsid w:val="003B15BA"/>
    <w:rsid w:val="003B1EAE"/>
    <w:rsid w:val="003B2D2E"/>
    <w:rsid w:val="003B2E05"/>
    <w:rsid w:val="003B3766"/>
    <w:rsid w:val="003C0389"/>
    <w:rsid w:val="003C30FD"/>
    <w:rsid w:val="003D233B"/>
    <w:rsid w:val="003E1D88"/>
    <w:rsid w:val="003E7CA8"/>
    <w:rsid w:val="003F2482"/>
    <w:rsid w:val="003F2692"/>
    <w:rsid w:val="003F2C08"/>
    <w:rsid w:val="003F318D"/>
    <w:rsid w:val="003F4933"/>
    <w:rsid w:val="0040610F"/>
    <w:rsid w:val="00407A0B"/>
    <w:rsid w:val="0041156E"/>
    <w:rsid w:val="00414036"/>
    <w:rsid w:val="00435583"/>
    <w:rsid w:val="0043597A"/>
    <w:rsid w:val="00445A04"/>
    <w:rsid w:val="00454847"/>
    <w:rsid w:val="004642E2"/>
    <w:rsid w:val="00467246"/>
    <w:rsid w:val="0048076F"/>
    <w:rsid w:val="00492AB4"/>
    <w:rsid w:val="00494009"/>
    <w:rsid w:val="00494C0F"/>
    <w:rsid w:val="0049622C"/>
    <w:rsid w:val="00496503"/>
    <w:rsid w:val="004A0893"/>
    <w:rsid w:val="004A3667"/>
    <w:rsid w:val="004A6B55"/>
    <w:rsid w:val="004B3438"/>
    <w:rsid w:val="004B4EEF"/>
    <w:rsid w:val="004B624B"/>
    <w:rsid w:val="004B6C59"/>
    <w:rsid w:val="004C0FD0"/>
    <w:rsid w:val="004C3096"/>
    <w:rsid w:val="004C4F82"/>
    <w:rsid w:val="004D781A"/>
    <w:rsid w:val="004E1D02"/>
    <w:rsid w:val="004E3984"/>
    <w:rsid w:val="004E4A90"/>
    <w:rsid w:val="004E6636"/>
    <w:rsid w:val="004F0DB7"/>
    <w:rsid w:val="004F3F20"/>
    <w:rsid w:val="004F72C0"/>
    <w:rsid w:val="00504FB4"/>
    <w:rsid w:val="00505234"/>
    <w:rsid w:val="0050526A"/>
    <w:rsid w:val="00506BA1"/>
    <w:rsid w:val="00512594"/>
    <w:rsid w:val="005125E9"/>
    <w:rsid w:val="005261D8"/>
    <w:rsid w:val="00530653"/>
    <w:rsid w:val="00536E40"/>
    <w:rsid w:val="00541B64"/>
    <w:rsid w:val="005524BC"/>
    <w:rsid w:val="00552D0A"/>
    <w:rsid w:val="00552ED8"/>
    <w:rsid w:val="005530A6"/>
    <w:rsid w:val="0055338C"/>
    <w:rsid w:val="00556D90"/>
    <w:rsid w:val="005638EB"/>
    <w:rsid w:val="005655EF"/>
    <w:rsid w:val="005672AF"/>
    <w:rsid w:val="00574371"/>
    <w:rsid w:val="00574DBB"/>
    <w:rsid w:val="0057537C"/>
    <w:rsid w:val="005844F1"/>
    <w:rsid w:val="00590E29"/>
    <w:rsid w:val="005949F7"/>
    <w:rsid w:val="00596F9A"/>
    <w:rsid w:val="005A5F0F"/>
    <w:rsid w:val="005A7F96"/>
    <w:rsid w:val="005C01F3"/>
    <w:rsid w:val="005C3586"/>
    <w:rsid w:val="005C600A"/>
    <w:rsid w:val="005D60B6"/>
    <w:rsid w:val="005E2661"/>
    <w:rsid w:val="005E29BD"/>
    <w:rsid w:val="005F29C6"/>
    <w:rsid w:val="005F4D2E"/>
    <w:rsid w:val="006015BF"/>
    <w:rsid w:val="00610557"/>
    <w:rsid w:val="00612463"/>
    <w:rsid w:val="006233EA"/>
    <w:rsid w:val="0062645A"/>
    <w:rsid w:val="006318E1"/>
    <w:rsid w:val="006354B6"/>
    <w:rsid w:val="00637A64"/>
    <w:rsid w:val="00643F6F"/>
    <w:rsid w:val="00644EDC"/>
    <w:rsid w:val="006451B6"/>
    <w:rsid w:val="00645BB0"/>
    <w:rsid w:val="00647B8D"/>
    <w:rsid w:val="00647D4E"/>
    <w:rsid w:val="00650C5E"/>
    <w:rsid w:val="00653304"/>
    <w:rsid w:val="006549F4"/>
    <w:rsid w:val="00664E69"/>
    <w:rsid w:val="00670E9E"/>
    <w:rsid w:val="0067279C"/>
    <w:rsid w:val="00673F6C"/>
    <w:rsid w:val="006777DE"/>
    <w:rsid w:val="00681EC4"/>
    <w:rsid w:val="00686DEE"/>
    <w:rsid w:val="00692D5F"/>
    <w:rsid w:val="006C656D"/>
    <w:rsid w:val="006D0709"/>
    <w:rsid w:val="006D5714"/>
    <w:rsid w:val="006F01F8"/>
    <w:rsid w:val="006F4F65"/>
    <w:rsid w:val="006F7F69"/>
    <w:rsid w:val="0070223A"/>
    <w:rsid w:val="0071249B"/>
    <w:rsid w:val="0071254A"/>
    <w:rsid w:val="007140C9"/>
    <w:rsid w:val="00722B61"/>
    <w:rsid w:val="007409A2"/>
    <w:rsid w:val="007426F3"/>
    <w:rsid w:val="007524C0"/>
    <w:rsid w:val="007600D1"/>
    <w:rsid w:val="00766776"/>
    <w:rsid w:val="00773244"/>
    <w:rsid w:val="007751EC"/>
    <w:rsid w:val="007779B3"/>
    <w:rsid w:val="0078272D"/>
    <w:rsid w:val="00784975"/>
    <w:rsid w:val="007849D8"/>
    <w:rsid w:val="00786146"/>
    <w:rsid w:val="00792061"/>
    <w:rsid w:val="007A314E"/>
    <w:rsid w:val="007A6F09"/>
    <w:rsid w:val="007B6C7F"/>
    <w:rsid w:val="007B7C5A"/>
    <w:rsid w:val="007C5C03"/>
    <w:rsid w:val="007E2252"/>
    <w:rsid w:val="007E6CE5"/>
    <w:rsid w:val="007F0381"/>
    <w:rsid w:val="007F1940"/>
    <w:rsid w:val="007F255B"/>
    <w:rsid w:val="007F7D89"/>
    <w:rsid w:val="00802EF7"/>
    <w:rsid w:val="0080511D"/>
    <w:rsid w:val="00807564"/>
    <w:rsid w:val="00811890"/>
    <w:rsid w:val="00816924"/>
    <w:rsid w:val="0081693D"/>
    <w:rsid w:val="00827071"/>
    <w:rsid w:val="00840732"/>
    <w:rsid w:val="00843507"/>
    <w:rsid w:val="00844A3E"/>
    <w:rsid w:val="00846797"/>
    <w:rsid w:val="00850D44"/>
    <w:rsid w:val="00870548"/>
    <w:rsid w:val="00870D1A"/>
    <w:rsid w:val="008739A7"/>
    <w:rsid w:val="00877ECA"/>
    <w:rsid w:val="0088250D"/>
    <w:rsid w:val="00887B0A"/>
    <w:rsid w:val="00890BC2"/>
    <w:rsid w:val="00895F6B"/>
    <w:rsid w:val="008A0216"/>
    <w:rsid w:val="008B09CA"/>
    <w:rsid w:val="008B38C2"/>
    <w:rsid w:val="008B4504"/>
    <w:rsid w:val="008B4D1B"/>
    <w:rsid w:val="008B7669"/>
    <w:rsid w:val="008C05AF"/>
    <w:rsid w:val="008C1686"/>
    <w:rsid w:val="008D12DD"/>
    <w:rsid w:val="008D14AC"/>
    <w:rsid w:val="008D22A3"/>
    <w:rsid w:val="008D538C"/>
    <w:rsid w:val="008D640F"/>
    <w:rsid w:val="008E6675"/>
    <w:rsid w:val="008E6974"/>
    <w:rsid w:val="00900E00"/>
    <w:rsid w:val="00906F5A"/>
    <w:rsid w:val="00915972"/>
    <w:rsid w:val="00915BC2"/>
    <w:rsid w:val="00917081"/>
    <w:rsid w:val="00923A2E"/>
    <w:rsid w:val="00925542"/>
    <w:rsid w:val="00926BFC"/>
    <w:rsid w:val="00930145"/>
    <w:rsid w:val="00946B05"/>
    <w:rsid w:val="00947665"/>
    <w:rsid w:val="009545AF"/>
    <w:rsid w:val="00963B01"/>
    <w:rsid w:val="00964255"/>
    <w:rsid w:val="00965DA3"/>
    <w:rsid w:val="00983554"/>
    <w:rsid w:val="00985384"/>
    <w:rsid w:val="0099274C"/>
    <w:rsid w:val="0099519D"/>
    <w:rsid w:val="009A5121"/>
    <w:rsid w:val="009B1C7E"/>
    <w:rsid w:val="009B2448"/>
    <w:rsid w:val="009B24DD"/>
    <w:rsid w:val="009B6E54"/>
    <w:rsid w:val="009C0AFA"/>
    <w:rsid w:val="009C0B84"/>
    <w:rsid w:val="009C144E"/>
    <w:rsid w:val="009D669B"/>
    <w:rsid w:val="009E036C"/>
    <w:rsid w:val="009E1A60"/>
    <w:rsid w:val="009E4E25"/>
    <w:rsid w:val="009F0C11"/>
    <w:rsid w:val="009F21E8"/>
    <w:rsid w:val="009F4538"/>
    <w:rsid w:val="00A00CCB"/>
    <w:rsid w:val="00A01142"/>
    <w:rsid w:val="00A040DC"/>
    <w:rsid w:val="00A100DC"/>
    <w:rsid w:val="00A2016B"/>
    <w:rsid w:val="00A21E9E"/>
    <w:rsid w:val="00A24F2E"/>
    <w:rsid w:val="00A256EF"/>
    <w:rsid w:val="00A345A9"/>
    <w:rsid w:val="00A37926"/>
    <w:rsid w:val="00A415C5"/>
    <w:rsid w:val="00A4297A"/>
    <w:rsid w:val="00A43812"/>
    <w:rsid w:val="00A46664"/>
    <w:rsid w:val="00A530BE"/>
    <w:rsid w:val="00A672B7"/>
    <w:rsid w:val="00A7640A"/>
    <w:rsid w:val="00A77F94"/>
    <w:rsid w:val="00A8423E"/>
    <w:rsid w:val="00A84BDC"/>
    <w:rsid w:val="00A868A6"/>
    <w:rsid w:val="00A93162"/>
    <w:rsid w:val="00A93AAD"/>
    <w:rsid w:val="00AA527B"/>
    <w:rsid w:val="00AA5CCE"/>
    <w:rsid w:val="00AA69A6"/>
    <w:rsid w:val="00AA6B4F"/>
    <w:rsid w:val="00AB10BF"/>
    <w:rsid w:val="00AD0925"/>
    <w:rsid w:val="00AE1546"/>
    <w:rsid w:val="00AE4C49"/>
    <w:rsid w:val="00AE6DD8"/>
    <w:rsid w:val="00AF28EC"/>
    <w:rsid w:val="00AF40AC"/>
    <w:rsid w:val="00AF69C9"/>
    <w:rsid w:val="00B00A97"/>
    <w:rsid w:val="00B021C4"/>
    <w:rsid w:val="00B03A61"/>
    <w:rsid w:val="00B123AA"/>
    <w:rsid w:val="00B1598D"/>
    <w:rsid w:val="00B1751B"/>
    <w:rsid w:val="00B22DC5"/>
    <w:rsid w:val="00B2756A"/>
    <w:rsid w:val="00B32A46"/>
    <w:rsid w:val="00B33D2C"/>
    <w:rsid w:val="00B34D99"/>
    <w:rsid w:val="00B51024"/>
    <w:rsid w:val="00B574E9"/>
    <w:rsid w:val="00B57ADF"/>
    <w:rsid w:val="00B618A5"/>
    <w:rsid w:val="00B6473C"/>
    <w:rsid w:val="00B64EEF"/>
    <w:rsid w:val="00B6570D"/>
    <w:rsid w:val="00B773B8"/>
    <w:rsid w:val="00B7785C"/>
    <w:rsid w:val="00B82671"/>
    <w:rsid w:val="00B91A3C"/>
    <w:rsid w:val="00B92363"/>
    <w:rsid w:val="00B9275C"/>
    <w:rsid w:val="00B97095"/>
    <w:rsid w:val="00BA2BEC"/>
    <w:rsid w:val="00BA6044"/>
    <w:rsid w:val="00BB4A54"/>
    <w:rsid w:val="00BC17A8"/>
    <w:rsid w:val="00BC3D19"/>
    <w:rsid w:val="00BC4042"/>
    <w:rsid w:val="00BC699F"/>
    <w:rsid w:val="00BD2250"/>
    <w:rsid w:val="00BD4C80"/>
    <w:rsid w:val="00BD5A61"/>
    <w:rsid w:val="00BD5CA9"/>
    <w:rsid w:val="00BD751C"/>
    <w:rsid w:val="00BE314B"/>
    <w:rsid w:val="00BE3979"/>
    <w:rsid w:val="00BF11AE"/>
    <w:rsid w:val="00BF2081"/>
    <w:rsid w:val="00BF25CC"/>
    <w:rsid w:val="00BF4058"/>
    <w:rsid w:val="00C028BC"/>
    <w:rsid w:val="00C112A6"/>
    <w:rsid w:val="00C11458"/>
    <w:rsid w:val="00C15F97"/>
    <w:rsid w:val="00C16E13"/>
    <w:rsid w:val="00C21654"/>
    <w:rsid w:val="00C220C6"/>
    <w:rsid w:val="00C233B8"/>
    <w:rsid w:val="00C25185"/>
    <w:rsid w:val="00C351A9"/>
    <w:rsid w:val="00C35BFE"/>
    <w:rsid w:val="00C448D8"/>
    <w:rsid w:val="00C45D6A"/>
    <w:rsid w:val="00C5524F"/>
    <w:rsid w:val="00C564B6"/>
    <w:rsid w:val="00C6560D"/>
    <w:rsid w:val="00C676EE"/>
    <w:rsid w:val="00C7032C"/>
    <w:rsid w:val="00C759EB"/>
    <w:rsid w:val="00C80F67"/>
    <w:rsid w:val="00C9143D"/>
    <w:rsid w:val="00C9322B"/>
    <w:rsid w:val="00CA073A"/>
    <w:rsid w:val="00CA2B0B"/>
    <w:rsid w:val="00CA3D59"/>
    <w:rsid w:val="00CA4B55"/>
    <w:rsid w:val="00CB2848"/>
    <w:rsid w:val="00CB3CA3"/>
    <w:rsid w:val="00CB465F"/>
    <w:rsid w:val="00CB6B76"/>
    <w:rsid w:val="00CB7E53"/>
    <w:rsid w:val="00CC7E5F"/>
    <w:rsid w:val="00CD2365"/>
    <w:rsid w:val="00CD694D"/>
    <w:rsid w:val="00CE0E37"/>
    <w:rsid w:val="00CE1E20"/>
    <w:rsid w:val="00CE2A3D"/>
    <w:rsid w:val="00CE5806"/>
    <w:rsid w:val="00CE61F3"/>
    <w:rsid w:val="00CE69F3"/>
    <w:rsid w:val="00CF3458"/>
    <w:rsid w:val="00CF56C3"/>
    <w:rsid w:val="00CF5ECC"/>
    <w:rsid w:val="00D00055"/>
    <w:rsid w:val="00D00A00"/>
    <w:rsid w:val="00D027BF"/>
    <w:rsid w:val="00D11E5B"/>
    <w:rsid w:val="00D14350"/>
    <w:rsid w:val="00D14C5D"/>
    <w:rsid w:val="00D1744A"/>
    <w:rsid w:val="00D216BD"/>
    <w:rsid w:val="00D21A79"/>
    <w:rsid w:val="00D259A7"/>
    <w:rsid w:val="00D27052"/>
    <w:rsid w:val="00D33BBA"/>
    <w:rsid w:val="00D41422"/>
    <w:rsid w:val="00D65686"/>
    <w:rsid w:val="00D70943"/>
    <w:rsid w:val="00D82302"/>
    <w:rsid w:val="00D87B96"/>
    <w:rsid w:val="00D9442E"/>
    <w:rsid w:val="00D9586E"/>
    <w:rsid w:val="00DB00F8"/>
    <w:rsid w:val="00DB14F4"/>
    <w:rsid w:val="00DB4789"/>
    <w:rsid w:val="00DB4D6C"/>
    <w:rsid w:val="00DB7488"/>
    <w:rsid w:val="00DC1A32"/>
    <w:rsid w:val="00DC6CBD"/>
    <w:rsid w:val="00DD183E"/>
    <w:rsid w:val="00DD253B"/>
    <w:rsid w:val="00DD60BA"/>
    <w:rsid w:val="00DE0DAA"/>
    <w:rsid w:val="00DF01F8"/>
    <w:rsid w:val="00DF574D"/>
    <w:rsid w:val="00DF6345"/>
    <w:rsid w:val="00DF6D06"/>
    <w:rsid w:val="00E02818"/>
    <w:rsid w:val="00E24E3B"/>
    <w:rsid w:val="00E33633"/>
    <w:rsid w:val="00E3365F"/>
    <w:rsid w:val="00E363F1"/>
    <w:rsid w:val="00E45221"/>
    <w:rsid w:val="00E4721D"/>
    <w:rsid w:val="00E53F75"/>
    <w:rsid w:val="00E5450A"/>
    <w:rsid w:val="00E607F7"/>
    <w:rsid w:val="00E63FB1"/>
    <w:rsid w:val="00E653C0"/>
    <w:rsid w:val="00E72ED9"/>
    <w:rsid w:val="00E766FF"/>
    <w:rsid w:val="00E86725"/>
    <w:rsid w:val="00E87805"/>
    <w:rsid w:val="00E8791A"/>
    <w:rsid w:val="00E90F7E"/>
    <w:rsid w:val="00E9243F"/>
    <w:rsid w:val="00E92ACB"/>
    <w:rsid w:val="00E92C57"/>
    <w:rsid w:val="00E93D34"/>
    <w:rsid w:val="00EA2F2D"/>
    <w:rsid w:val="00EB46D3"/>
    <w:rsid w:val="00EC0987"/>
    <w:rsid w:val="00EC75B0"/>
    <w:rsid w:val="00EC7AB0"/>
    <w:rsid w:val="00ED4386"/>
    <w:rsid w:val="00ED79AA"/>
    <w:rsid w:val="00EE0D0B"/>
    <w:rsid w:val="00EE1581"/>
    <w:rsid w:val="00EE434D"/>
    <w:rsid w:val="00EE449A"/>
    <w:rsid w:val="00EE4DB6"/>
    <w:rsid w:val="00EE5875"/>
    <w:rsid w:val="00EE6B1E"/>
    <w:rsid w:val="00EE7917"/>
    <w:rsid w:val="00EF0964"/>
    <w:rsid w:val="00EF64B6"/>
    <w:rsid w:val="00F000AA"/>
    <w:rsid w:val="00F04F6D"/>
    <w:rsid w:val="00F13BFD"/>
    <w:rsid w:val="00F14A2F"/>
    <w:rsid w:val="00F16212"/>
    <w:rsid w:val="00F233AA"/>
    <w:rsid w:val="00F234F6"/>
    <w:rsid w:val="00F238A7"/>
    <w:rsid w:val="00F246CB"/>
    <w:rsid w:val="00F35F10"/>
    <w:rsid w:val="00F45289"/>
    <w:rsid w:val="00F50B25"/>
    <w:rsid w:val="00F532D9"/>
    <w:rsid w:val="00F5347B"/>
    <w:rsid w:val="00F64982"/>
    <w:rsid w:val="00F757B1"/>
    <w:rsid w:val="00F81ACB"/>
    <w:rsid w:val="00F84C71"/>
    <w:rsid w:val="00F90509"/>
    <w:rsid w:val="00F91167"/>
    <w:rsid w:val="00FA144B"/>
    <w:rsid w:val="00FA4002"/>
    <w:rsid w:val="00FA6FC5"/>
    <w:rsid w:val="00FB3BE0"/>
    <w:rsid w:val="00FB46A5"/>
    <w:rsid w:val="00FB477F"/>
    <w:rsid w:val="00FC519E"/>
    <w:rsid w:val="00FC5CC7"/>
    <w:rsid w:val="00FD67B4"/>
    <w:rsid w:val="00FE0D4E"/>
    <w:rsid w:val="00FE1ABF"/>
    <w:rsid w:val="00FE20BC"/>
    <w:rsid w:val="00FE2CB9"/>
    <w:rsid w:val="00FE5E94"/>
    <w:rsid w:val="00FE6ADF"/>
    <w:rsid w:val="00FF3741"/>
    <w:rsid w:val="00FF4695"/>
    <w:rsid w:val="00FF51E1"/>
    <w:rsid w:val="00FF78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9E1E6D21-9F20-4480-AB70-B66E5D62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02"/>
    <w:rPr>
      <w:sz w:val="24"/>
      <w:szCs w:val="24"/>
    </w:rPr>
  </w:style>
  <w:style w:type="paragraph" w:styleId="Heading1">
    <w:name w:val="heading 1"/>
    <w:basedOn w:val="Normal"/>
    <w:next w:val="Normal"/>
    <w:link w:val="Heading1Char"/>
    <w:qFormat/>
    <w:locked/>
    <w:rsid w:val="00B57A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B4504"/>
    <w:rPr>
      <w:rFonts w:ascii="Cambria" w:hAnsi="Cambria" w:cs="Times New Roman"/>
      <w:b/>
      <w:bCs/>
      <w:i/>
      <w:iCs/>
      <w:sz w:val="28"/>
      <w:szCs w:val="28"/>
    </w:rPr>
  </w:style>
  <w:style w:type="paragraph" w:styleId="BodyText">
    <w:name w:val="Body Text"/>
    <w:basedOn w:val="Normal"/>
    <w:link w:val="BodyTextChar"/>
    <w:uiPriority w:val="99"/>
    <w:rsid w:val="004E1D02"/>
    <w:pPr>
      <w:spacing w:line="480" w:lineRule="auto"/>
      <w:jc w:val="both"/>
    </w:pPr>
    <w:rPr>
      <w:szCs w:val="20"/>
    </w:rPr>
  </w:style>
  <w:style w:type="character" w:customStyle="1" w:styleId="BodyTextChar">
    <w:name w:val="Body Text Char"/>
    <w:basedOn w:val="DefaultParagraphFont"/>
    <w:link w:val="BodyText"/>
    <w:uiPriority w:val="99"/>
    <w:semiHidden/>
    <w:locked/>
    <w:rsid w:val="008B4504"/>
    <w:rPr>
      <w:rFonts w:cs="Times New Roman"/>
      <w:sz w:val="24"/>
      <w:szCs w:val="24"/>
    </w:rPr>
  </w:style>
  <w:style w:type="paragraph" w:styleId="NormalWeb">
    <w:name w:val="Normal (Web)"/>
    <w:basedOn w:val="Normal"/>
    <w:uiPriority w:val="99"/>
    <w:rsid w:val="004E1D02"/>
    <w:pPr>
      <w:spacing w:before="100" w:beforeAutospacing="1" w:after="100" w:afterAutospacing="1"/>
    </w:pPr>
    <w:rPr>
      <w:color w:val="000000"/>
    </w:rPr>
  </w:style>
  <w:style w:type="character" w:styleId="Hyperlink">
    <w:name w:val="Hyperlink"/>
    <w:basedOn w:val="DefaultParagraphFont"/>
    <w:uiPriority w:val="99"/>
    <w:rsid w:val="004E1D02"/>
    <w:rPr>
      <w:rFonts w:cs="Times New Roman"/>
      <w:color w:val="0000FF"/>
      <w:u w:val="single"/>
    </w:rPr>
  </w:style>
  <w:style w:type="paragraph" w:styleId="BodyText2">
    <w:name w:val="Body Text 2"/>
    <w:basedOn w:val="Normal"/>
    <w:link w:val="BodyText2Char"/>
    <w:uiPriority w:val="99"/>
    <w:rsid w:val="004E1D02"/>
    <w:rPr>
      <w:rFonts w:ascii="Arial" w:hAnsi="Arial" w:cs="Arial"/>
      <w:b/>
      <w:bCs/>
      <w:sz w:val="22"/>
    </w:rPr>
  </w:style>
  <w:style w:type="character" w:customStyle="1" w:styleId="BodyText2Char">
    <w:name w:val="Body Text 2 Char"/>
    <w:basedOn w:val="DefaultParagraphFont"/>
    <w:link w:val="BodyText2"/>
    <w:uiPriority w:val="99"/>
    <w:semiHidden/>
    <w:locked/>
    <w:rsid w:val="008B4504"/>
    <w:rPr>
      <w:rFonts w:cs="Times New Roman"/>
      <w:sz w:val="24"/>
      <w:szCs w:val="24"/>
    </w:rPr>
  </w:style>
  <w:style w:type="paragraph" w:customStyle="1" w:styleId="affiliation">
    <w:name w:val="affiliation"/>
    <w:basedOn w:val="Normal"/>
    <w:uiPriority w:val="99"/>
    <w:rsid w:val="004E1D02"/>
    <w:rPr>
      <w:color w:val="000000"/>
    </w:rPr>
  </w:style>
  <w:style w:type="character" w:customStyle="1" w:styleId="ti2">
    <w:name w:val="ti2"/>
    <w:basedOn w:val="DefaultParagraphFont"/>
    <w:uiPriority w:val="99"/>
    <w:rsid w:val="004E1D02"/>
    <w:rPr>
      <w:rFonts w:cs="Times New Roman"/>
    </w:rPr>
  </w:style>
  <w:style w:type="character" w:customStyle="1" w:styleId="featuredlinkouts">
    <w:name w:val="featured_linkouts"/>
    <w:basedOn w:val="DefaultParagraphFont"/>
    <w:uiPriority w:val="99"/>
    <w:rsid w:val="004E1D02"/>
    <w:rPr>
      <w:rFonts w:cs="Times New Roman"/>
    </w:rPr>
  </w:style>
  <w:style w:type="character" w:customStyle="1" w:styleId="linkbar">
    <w:name w:val="linkbar"/>
    <w:basedOn w:val="DefaultParagraphFont"/>
    <w:uiPriority w:val="99"/>
    <w:rsid w:val="004E1D02"/>
    <w:rPr>
      <w:rFonts w:cs="Times New Roman"/>
    </w:rPr>
  </w:style>
  <w:style w:type="character" w:styleId="FollowedHyperlink">
    <w:name w:val="FollowedHyperlink"/>
    <w:basedOn w:val="DefaultParagraphFont"/>
    <w:uiPriority w:val="99"/>
    <w:rsid w:val="004E1D02"/>
    <w:rPr>
      <w:rFonts w:cs="Times New Roman"/>
      <w:color w:val="800080"/>
      <w:u w:val="single"/>
    </w:rPr>
  </w:style>
  <w:style w:type="paragraph" w:styleId="BalloonText">
    <w:name w:val="Balloon Text"/>
    <w:basedOn w:val="Normal"/>
    <w:link w:val="BalloonTextChar"/>
    <w:uiPriority w:val="99"/>
    <w:semiHidden/>
    <w:rsid w:val="004E1D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4504"/>
    <w:rPr>
      <w:rFonts w:cs="Times New Roman"/>
      <w:sz w:val="2"/>
    </w:rPr>
  </w:style>
  <w:style w:type="paragraph" w:styleId="Title">
    <w:name w:val="Title"/>
    <w:basedOn w:val="Normal"/>
    <w:next w:val="Normal"/>
    <w:link w:val="TitleChar"/>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leChar">
    <w:name w:val="Title Char"/>
    <w:basedOn w:val="DefaultParagraphFont"/>
    <w:link w:val="Title"/>
    <w:uiPriority w:val="99"/>
    <w:locked/>
    <w:rsid w:val="005638EB"/>
    <w:rPr>
      <w:rFonts w:ascii="Lucida Sans Unicode" w:hAnsi="Lucida Sans Unicode" w:cs="Times New Roman"/>
      <w:color w:val="343434"/>
      <w:spacing w:val="5"/>
      <w:kern w:val="28"/>
      <w:sz w:val="52"/>
      <w:szCs w:val="52"/>
    </w:rPr>
  </w:style>
  <w:style w:type="paragraph" w:styleId="Header">
    <w:name w:val="header"/>
    <w:basedOn w:val="Normal"/>
    <w:link w:val="HeaderChar"/>
    <w:uiPriority w:val="99"/>
    <w:rsid w:val="004E1D02"/>
    <w:pPr>
      <w:tabs>
        <w:tab w:val="center" w:pos="4536"/>
        <w:tab w:val="right" w:pos="9072"/>
      </w:tabs>
    </w:pPr>
  </w:style>
  <w:style w:type="character" w:customStyle="1" w:styleId="HeaderChar">
    <w:name w:val="Header Char"/>
    <w:basedOn w:val="DefaultParagraphFont"/>
    <w:link w:val="Header"/>
    <w:uiPriority w:val="99"/>
    <w:semiHidden/>
    <w:locked/>
    <w:rsid w:val="008B4504"/>
    <w:rPr>
      <w:rFonts w:cs="Times New Roman"/>
      <w:sz w:val="24"/>
      <w:szCs w:val="24"/>
    </w:rPr>
  </w:style>
  <w:style w:type="paragraph" w:styleId="Footer">
    <w:name w:val="footer"/>
    <w:basedOn w:val="Normal"/>
    <w:link w:val="FooterChar"/>
    <w:uiPriority w:val="99"/>
    <w:rsid w:val="004E1D02"/>
    <w:pPr>
      <w:tabs>
        <w:tab w:val="center" w:pos="4536"/>
        <w:tab w:val="right" w:pos="9072"/>
      </w:tabs>
    </w:pPr>
  </w:style>
  <w:style w:type="character" w:customStyle="1" w:styleId="FooterChar">
    <w:name w:val="Footer Char"/>
    <w:basedOn w:val="DefaultParagraphFont"/>
    <w:link w:val="Footer"/>
    <w:uiPriority w:val="99"/>
    <w:locked/>
    <w:rsid w:val="008B4504"/>
    <w:rPr>
      <w:rFonts w:cs="Times New Roman"/>
      <w:sz w:val="24"/>
      <w:szCs w:val="24"/>
    </w:rPr>
  </w:style>
  <w:style w:type="paragraph" w:styleId="Revision">
    <w:name w:val="Revision"/>
    <w:hidden/>
    <w:uiPriority w:val="99"/>
    <w:semiHidden/>
    <w:rsid w:val="00E53F75"/>
    <w:rPr>
      <w:sz w:val="24"/>
      <w:szCs w:val="24"/>
    </w:rPr>
  </w:style>
  <w:style w:type="paragraph" w:styleId="ListParagraph">
    <w:name w:val="List Paragraph"/>
    <w:basedOn w:val="Normal"/>
    <w:uiPriority w:val="34"/>
    <w:qFormat/>
    <w:rsid w:val="00435583"/>
    <w:pPr>
      <w:ind w:left="720"/>
      <w:contextualSpacing/>
    </w:pPr>
  </w:style>
  <w:style w:type="character" w:customStyle="1" w:styleId="NichtaufgelsteErwhnung1">
    <w:name w:val="Nicht aufgelöste Erwähnung1"/>
    <w:basedOn w:val="DefaultParagraphFont"/>
    <w:uiPriority w:val="99"/>
    <w:semiHidden/>
    <w:unhideWhenUsed/>
    <w:rsid w:val="00D259A7"/>
    <w:rPr>
      <w:color w:val="605E5C"/>
      <w:shd w:val="clear" w:color="auto" w:fill="E1DFDD"/>
    </w:rPr>
  </w:style>
  <w:style w:type="character" w:styleId="PageNumber">
    <w:name w:val="page number"/>
    <w:basedOn w:val="DefaultParagraphFont"/>
    <w:uiPriority w:val="99"/>
    <w:semiHidden/>
    <w:unhideWhenUsed/>
    <w:rsid w:val="00BD2250"/>
  </w:style>
  <w:style w:type="character" w:styleId="CommentReference">
    <w:name w:val="annotation reference"/>
    <w:basedOn w:val="DefaultParagraphFont"/>
    <w:uiPriority w:val="99"/>
    <w:semiHidden/>
    <w:unhideWhenUsed/>
    <w:rsid w:val="0000751F"/>
    <w:rPr>
      <w:sz w:val="16"/>
      <w:szCs w:val="16"/>
    </w:rPr>
  </w:style>
  <w:style w:type="paragraph" w:styleId="CommentText">
    <w:name w:val="annotation text"/>
    <w:basedOn w:val="Normal"/>
    <w:link w:val="CommentTextChar"/>
    <w:uiPriority w:val="99"/>
    <w:unhideWhenUsed/>
    <w:rsid w:val="0000751F"/>
    <w:rPr>
      <w:sz w:val="20"/>
      <w:szCs w:val="20"/>
    </w:rPr>
  </w:style>
  <w:style w:type="character" w:customStyle="1" w:styleId="CommentTextChar">
    <w:name w:val="Comment Text Char"/>
    <w:basedOn w:val="DefaultParagraphFont"/>
    <w:link w:val="CommentText"/>
    <w:uiPriority w:val="99"/>
    <w:rsid w:val="0000751F"/>
    <w:rPr>
      <w:sz w:val="20"/>
      <w:szCs w:val="20"/>
    </w:rPr>
  </w:style>
  <w:style w:type="paragraph" w:styleId="CommentSubject">
    <w:name w:val="annotation subject"/>
    <w:basedOn w:val="CommentText"/>
    <w:next w:val="CommentText"/>
    <w:link w:val="CommentSubjectChar"/>
    <w:uiPriority w:val="99"/>
    <w:semiHidden/>
    <w:unhideWhenUsed/>
    <w:rsid w:val="0000751F"/>
    <w:rPr>
      <w:b/>
      <w:bCs/>
    </w:rPr>
  </w:style>
  <w:style w:type="character" w:customStyle="1" w:styleId="CommentSubjectChar">
    <w:name w:val="Comment Subject Char"/>
    <w:basedOn w:val="CommentTextChar"/>
    <w:link w:val="CommentSubject"/>
    <w:uiPriority w:val="99"/>
    <w:semiHidden/>
    <w:rsid w:val="0000751F"/>
    <w:rPr>
      <w:b/>
      <w:bCs/>
      <w:sz w:val="20"/>
      <w:szCs w:val="20"/>
    </w:rPr>
  </w:style>
  <w:style w:type="paragraph" w:customStyle="1" w:styleId="Default">
    <w:name w:val="Default"/>
    <w:rsid w:val="00DD253B"/>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B57ADF"/>
    <w:rPr>
      <w:rFonts w:asciiTheme="majorHAnsi" w:eastAsiaTheme="majorEastAsia" w:hAnsiTheme="majorHAnsi" w:cstheme="majorBidi"/>
      <w:color w:val="365F91" w:themeColor="accent1" w:themeShade="BF"/>
      <w:sz w:val="32"/>
      <w:szCs w:val="32"/>
    </w:rPr>
  </w:style>
  <w:style w:type="paragraph" w:customStyle="1" w:styleId="EndNoteBibliographyTitle">
    <w:name w:val="EndNote Bibliography Title"/>
    <w:basedOn w:val="Normal"/>
    <w:link w:val="EndNoteBibliographyTitleZchn"/>
    <w:rsid w:val="00145E7F"/>
    <w:pPr>
      <w:jc w:val="center"/>
    </w:pPr>
  </w:style>
  <w:style w:type="character" w:customStyle="1" w:styleId="EndNoteBibliographyTitleZchn">
    <w:name w:val="EndNote Bibliography Title Zchn"/>
    <w:basedOn w:val="DefaultParagraphFont"/>
    <w:link w:val="EndNoteBibliographyTitle"/>
    <w:rsid w:val="00145E7F"/>
    <w:rPr>
      <w:sz w:val="24"/>
      <w:szCs w:val="24"/>
    </w:rPr>
  </w:style>
  <w:style w:type="paragraph" w:customStyle="1" w:styleId="EndNoteBibliography">
    <w:name w:val="EndNote Bibliography"/>
    <w:basedOn w:val="Normal"/>
    <w:link w:val="EndNoteBibliographyZchn"/>
    <w:rsid w:val="00145E7F"/>
  </w:style>
  <w:style w:type="character" w:customStyle="1" w:styleId="EndNoteBibliographyZchn">
    <w:name w:val="EndNote Bibliography Zchn"/>
    <w:basedOn w:val="DefaultParagraphFont"/>
    <w:link w:val="EndNoteBibliography"/>
    <w:rsid w:val="00145E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4145">
      <w:bodyDiv w:val="1"/>
      <w:marLeft w:val="0"/>
      <w:marRight w:val="0"/>
      <w:marTop w:val="0"/>
      <w:marBottom w:val="0"/>
      <w:divBdr>
        <w:top w:val="none" w:sz="0" w:space="0" w:color="auto"/>
        <w:left w:val="none" w:sz="0" w:space="0" w:color="auto"/>
        <w:bottom w:val="none" w:sz="0" w:space="0" w:color="auto"/>
        <w:right w:val="none" w:sz="0" w:space="0" w:color="auto"/>
      </w:divBdr>
    </w:div>
    <w:div w:id="546916775">
      <w:bodyDiv w:val="1"/>
      <w:marLeft w:val="0"/>
      <w:marRight w:val="0"/>
      <w:marTop w:val="0"/>
      <w:marBottom w:val="0"/>
      <w:divBdr>
        <w:top w:val="none" w:sz="0" w:space="0" w:color="auto"/>
        <w:left w:val="none" w:sz="0" w:space="0" w:color="auto"/>
        <w:bottom w:val="none" w:sz="0" w:space="0" w:color="auto"/>
        <w:right w:val="none" w:sz="0" w:space="0" w:color="auto"/>
      </w:divBdr>
    </w:div>
    <w:div w:id="766580606">
      <w:bodyDiv w:val="1"/>
      <w:marLeft w:val="0"/>
      <w:marRight w:val="0"/>
      <w:marTop w:val="0"/>
      <w:marBottom w:val="0"/>
      <w:divBdr>
        <w:top w:val="none" w:sz="0" w:space="0" w:color="auto"/>
        <w:left w:val="none" w:sz="0" w:space="0" w:color="auto"/>
        <w:bottom w:val="none" w:sz="0" w:space="0" w:color="auto"/>
        <w:right w:val="none" w:sz="0" w:space="0" w:color="auto"/>
      </w:divBdr>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075712692">
      <w:bodyDiv w:val="1"/>
      <w:marLeft w:val="0"/>
      <w:marRight w:val="0"/>
      <w:marTop w:val="0"/>
      <w:marBottom w:val="0"/>
      <w:divBdr>
        <w:top w:val="none" w:sz="0" w:space="0" w:color="auto"/>
        <w:left w:val="none" w:sz="0" w:space="0" w:color="auto"/>
        <w:bottom w:val="none" w:sz="0" w:space="0" w:color="auto"/>
        <w:right w:val="none" w:sz="0" w:space="0" w:color="auto"/>
      </w:divBdr>
      <w:divsChild>
        <w:div w:id="957178089">
          <w:marLeft w:val="0"/>
          <w:marRight w:val="0"/>
          <w:marTop w:val="0"/>
          <w:marBottom w:val="0"/>
          <w:divBdr>
            <w:top w:val="none" w:sz="0" w:space="0" w:color="auto"/>
            <w:left w:val="none" w:sz="0" w:space="0" w:color="auto"/>
            <w:bottom w:val="none" w:sz="0" w:space="0" w:color="auto"/>
            <w:right w:val="none" w:sz="0" w:space="0" w:color="auto"/>
          </w:divBdr>
        </w:div>
        <w:div w:id="1884513449">
          <w:marLeft w:val="0"/>
          <w:marRight w:val="0"/>
          <w:marTop w:val="0"/>
          <w:marBottom w:val="0"/>
          <w:divBdr>
            <w:top w:val="none" w:sz="0" w:space="0" w:color="auto"/>
            <w:left w:val="none" w:sz="0" w:space="0" w:color="auto"/>
            <w:bottom w:val="none" w:sz="0" w:space="0" w:color="auto"/>
            <w:right w:val="none" w:sz="0" w:space="0" w:color="auto"/>
          </w:divBdr>
        </w:div>
      </w:divsChild>
    </w:div>
    <w:div w:id="138748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6" ma:contentTypeDescription="Ein neues Dokument erstellen." ma:contentTypeScope="" ma:versionID="46f9b8c1029ff3a5e38518161dbea49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79d3c8853db0a645c1ed4d6c1c8322ba"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D2B7D-02D7-4CC4-8393-266E02E107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7369B0-7C9E-4752-A30D-3BDD47AD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C21BD-BE16-45E7-AD50-958CD38E8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1813</Words>
  <Characters>10340</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Massenkeil</dc:creator>
  <cp:keywords/>
  <cp:lastModifiedBy>Jasmin Nachtigall</cp:lastModifiedBy>
  <cp:revision>94</cp:revision>
  <cp:lastPrinted>2012-10-10T09:17:00Z</cp:lastPrinted>
  <dcterms:created xsi:type="dcterms:W3CDTF">2025-09-09T22:10:00Z</dcterms:created>
  <dcterms:modified xsi:type="dcterms:W3CDTF">2025-09-18T07:38:00Z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y fmtid="{D5CDD505-2E9C-101B-9397-08002B2CF9AE}" pid="3" name="GrammarlyDocumentId">
    <vt:lpwstr>4ed49bbb4b5f15e96efeddf4414efa70657dd68b9c066e55562003185792b065</vt:lpwstr>
  </property>
</Properties>
</file>