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04133D30" w14:textId="77777777" w:rsidTr="00AA1ABF">
        <w:tc>
          <w:tcPr>
            <w:tcW w:w="9212" w:type="dxa"/>
          </w:tcPr>
          <w:p w14:paraId="0DC61B55"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Haben Sie externe Hilfestellungen zum Ausfüllen der Formblätter in Anspruch genommen?  Wenn ja, bitte geben Sie an, welche Hilfestellung Sie in Anspruch genommen haben?</w:t>
            </w:r>
          </w:p>
        </w:tc>
      </w:tr>
      <w:tr w:rsidR="00016B86" w:rsidRPr="00016B86" w14:paraId="4CA27B7E" w14:textId="77777777" w:rsidTr="00AA1ABF">
        <w:tc>
          <w:tcPr>
            <w:tcW w:w="9212" w:type="dxa"/>
          </w:tcPr>
          <w:p w14:paraId="711EFB7A"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sz w:val="22"/>
                <w:lang w:eastAsia="de-DE"/>
              </w:rPr>
              <w:t xml:space="preserve">Dieser Antrag wurde durch die Deutsche Gesellschaft für Infektiologie e.V. vorformuliert. </w:t>
            </w:r>
          </w:p>
        </w:tc>
      </w:tr>
    </w:tbl>
    <w:p w14:paraId="10687A80" w14:textId="77777777" w:rsidR="00016B86" w:rsidRPr="00016B86" w:rsidRDefault="00016B86" w:rsidP="00016B86">
      <w:pPr>
        <w:spacing w:after="0" w:line="240" w:lineRule="auto"/>
        <w:rPr>
          <w:rFonts w:ascii="Arial Narrow" w:eastAsia="Times New Roman" w:hAnsi="Arial Narrow" w:cs="Arial"/>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3CF8DBF7" w14:textId="77777777" w:rsidTr="00AA1ABF">
        <w:tc>
          <w:tcPr>
            <w:tcW w:w="9212" w:type="dxa"/>
          </w:tcPr>
          <w:p w14:paraId="13303F4B"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Angefragte Untersuchungs- und Behandlungsmethode</w:t>
            </w:r>
          </w:p>
        </w:tc>
      </w:tr>
      <w:tr w:rsidR="00016B86" w:rsidRPr="00016B86" w14:paraId="5FCADE19" w14:textId="77777777" w:rsidTr="00AA1ABF">
        <w:tc>
          <w:tcPr>
            <w:tcW w:w="9212" w:type="dxa"/>
          </w:tcPr>
          <w:p w14:paraId="321B63A7" w14:textId="77777777" w:rsidR="00016B86" w:rsidRPr="00016B86" w:rsidRDefault="00016B86" w:rsidP="00016B86">
            <w:pPr>
              <w:spacing w:after="0" w:line="240" w:lineRule="auto"/>
              <w:rPr>
                <w:rFonts w:ascii="Arial Narrow" w:eastAsia="Times New Roman" w:hAnsi="Arial Narrow" w:cs="Arial"/>
                <w:color w:val="00B050"/>
                <w:sz w:val="22"/>
                <w:lang w:eastAsia="de-DE"/>
              </w:rPr>
            </w:pPr>
            <w:proofErr w:type="spellStart"/>
            <w:r w:rsidRPr="00016B86">
              <w:rPr>
                <w:rFonts w:ascii="Arial Narrow" w:eastAsia="Times New Roman" w:hAnsi="Arial Narrow" w:cs="Arial"/>
                <w:sz w:val="22"/>
                <w:lang w:eastAsia="de-DE"/>
              </w:rPr>
              <w:t>Nirmatrelvir</w:t>
            </w:r>
            <w:proofErr w:type="spellEnd"/>
            <w:r w:rsidRPr="00016B86">
              <w:rPr>
                <w:rFonts w:ascii="Arial Narrow" w:eastAsia="Times New Roman" w:hAnsi="Arial Narrow" w:cs="Arial"/>
                <w:sz w:val="22"/>
                <w:lang w:eastAsia="de-DE"/>
              </w:rPr>
              <w:t>/Ritonavir</w:t>
            </w:r>
          </w:p>
        </w:tc>
      </w:tr>
    </w:tbl>
    <w:p w14:paraId="04B75C86" w14:textId="77777777" w:rsidR="00016B86" w:rsidRPr="00016B86" w:rsidRDefault="00016B86" w:rsidP="00016B86">
      <w:pPr>
        <w:spacing w:after="0" w:line="240" w:lineRule="auto"/>
        <w:rPr>
          <w:rFonts w:ascii="Arial Narrow" w:eastAsia="Times New Roman" w:hAnsi="Arial Narrow" w:cs="Arial"/>
          <w:b/>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07E292FD" w14:textId="77777777" w:rsidTr="00AA1ABF">
        <w:tc>
          <w:tcPr>
            <w:tcW w:w="9212" w:type="dxa"/>
          </w:tcPr>
          <w:p w14:paraId="09652253" w14:textId="77777777" w:rsidR="00016B86" w:rsidRPr="00016B86" w:rsidRDefault="00016B86" w:rsidP="00016B86">
            <w:pPr>
              <w:tabs>
                <w:tab w:val="left" w:pos="7465"/>
              </w:tabs>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Alternative Bezeichnung(en) der Methode</w:t>
            </w:r>
            <w:r w:rsidRPr="00016B86">
              <w:rPr>
                <w:rFonts w:ascii="Arial Narrow" w:eastAsia="Times New Roman" w:hAnsi="Arial Narrow" w:cs="Arial"/>
                <w:b/>
                <w:sz w:val="22"/>
                <w:lang w:eastAsia="de-DE"/>
              </w:rPr>
              <w:tab/>
            </w:r>
          </w:p>
        </w:tc>
      </w:tr>
      <w:tr w:rsidR="00016B86" w:rsidRPr="00016B86" w14:paraId="61EBF01F" w14:textId="77777777" w:rsidTr="00AA1ABF">
        <w:tc>
          <w:tcPr>
            <w:tcW w:w="9212" w:type="dxa"/>
          </w:tcPr>
          <w:p w14:paraId="1A2D964E"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sz w:val="22"/>
                <w:lang w:eastAsia="de-DE"/>
              </w:rPr>
              <w:t>Paxlovid®</w:t>
            </w:r>
          </w:p>
        </w:tc>
      </w:tr>
    </w:tbl>
    <w:p w14:paraId="3367C189" w14:textId="77777777" w:rsidR="00016B86" w:rsidRPr="00016B86" w:rsidRDefault="00016B86" w:rsidP="00016B86">
      <w:pPr>
        <w:spacing w:after="0" w:line="240" w:lineRule="auto"/>
        <w:rPr>
          <w:rFonts w:ascii="Arial Narrow" w:eastAsia="Times New Roman" w:hAnsi="Arial Narrow" w:cs="Arial"/>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5C92FB64" w14:textId="77777777" w:rsidTr="00AA1ABF">
        <w:tc>
          <w:tcPr>
            <w:tcW w:w="9212" w:type="dxa"/>
            <w:tcBorders>
              <w:top w:val="single" w:sz="4" w:space="0" w:color="auto"/>
              <w:left w:val="single" w:sz="4" w:space="0" w:color="auto"/>
              <w:bottom w:val="single" w:sz="4" w:space="0" w:color="auto"/>
              <w:right w:val="single" w:sz="4" w:space="0" w:color="auto"/>
            </w:tcBorders>
          </w:tcPr>
          <w:p w14:paraId="2E786A4E" w14:textId="77777777" w:rsidR="00016B86" w:rsidRPr="00016B86" w:rsidRDefault="00016B86" w:rsidP="00016B86">
            <w:pPr>
              <w:tabs>
                <w:tab w:val="left" w:pos="7465"/>
              </w:tabs>
              <w:spacing w:after="0" w:line="240" w:lineRule="auto"/>
              <w:rPr>
                <w:rFonts w:ascii="Arial Narrow" w:eastAsia="Times New Roman" w:hAnsi="Arial Narrow" w:cs="Arial"/>
                <w:b/>
                <w:sz w:val="22"/>
                <w:lang w:eastAsia="de-DE"/>
              </w:rPr>
            </w:pPr>
            <w:r w:rsidRPr="00016B86">
              <w:rPr>
                <w:rFonts w:ascii="Arial Narrow" w:eastAsia="Times New Roman" w:hAnsi="Arial Narrow" w:cs="Arial"/>
                <w:b/>
                <w:sz w:val="22"/>
                <w:lang w:eastAsia="de-DE"/>
              </w:rPr>
              <w:t>Beruht die neue Untersuchungs- und Behandlungsmethode vollständig oder in Teilen auf dem Einsatz eines Medizinproduktes?</w:t>
            </w:r>
            <w:r w:rsidRPr="00016B86">
              <w:rPr>
                <w:rFonts w:ascii="Arial Narrow" w:eastAsia="Times New Roman" w:hAnsi="Arial Narrow" w:cs="Arial"/>
                <w:b/>
                <w:sz w:val="22"/>
                <w:lang w:eastAsia="de-DE"/>
              </w:rPr>
              <w:tab/>
            </w:r>
          </w:p>
        </w:tc>
      </w:tr>
      <w:tr w:rsidR="00016B86" w:rsidRPr="00016B86" w14:paraId="0E3CADB3" w14:textId="77777777" w:rsidTr="00AA1ABF">
        <w:tc>
          <w:tcPr>
            <w:tcW w:w="9212" w:type="dxa"/>
            <w:tcBorders>
              <w:top w:val="single" w:sz="4" w:space="0" w:color="auto"/>
              <w:left w:val="single" w:sz="4" w:space="0" w:color="auto"/>
              <w:bottom w:val="single" w:sz="4" w:space="0" w:color="auto"/>
              <w:right w:val="single" w:sz="4" w:space="0" w:color="auto"/>
            </w:tcBorders>
          </w:tcPr>
          <w:p w14:paraId="0DC308FE" w14:textId="77777777" w:rsidR="00016B86" w:rsidRPr="00016B86" w:rsidRDefault="00016B86" w:rsidP="00016B86">
            <w:pPr>
              <w:spacing w:after="0" w:line="240" w:lineRule="auto"/>
              <w:rPr>
                <w:rFonts w:ascii="Arial Narrow" w:eastAsia="Times New Roman" w:hAnsi="Arial Narrow" w:cs="Arial"/>
                <w:sz w:val="22"/>
                <w:lang w:eastAsia="de-DE"/>
              </w:rPr>
            </w:pPr>
            <w:r w:rsidRPr="00016B86">
              <w:rPr>
                <w:rFonts w:ascii="Arial Narrow" w:eastAsia="Times New Roman" w:hAnsi="Arial Narrow" w:cs="Arial"/>
                <w:sz w:val="22"/>
                <w:lang w:eastAsia="de-DE"/>
              </w:rPr>
              <w:t>[</w:t>
            </w:r>
            <w:r w:rsidRPr="00016B86">
              <w:rPr>
                <w:rFonts w:ascii="Arial Narrow" w:eastAsia="Times New Roman" w:hAnsi="Arial Narrow" w:cs="Arial"/>
                <w:sz w:val="22"/>
                <w:highlight w:val="yellow"/>
                <w:lang w:eastAsia="de-DE"/>
              </w:rPr>
              <w:t>nein ankreuzen</w:t>
            </w:r>
            <w:r w:rsidRPr="00016B86">
              <w:rPr>
                <w:rFonts w:ascii="Arial Narrow" w:eastAsia="Times New Roman" w:hAnsi="Arial Narrow" w:cs="Arial"/>
                <w:sz w:val="22"/>
                <w:lang w:eastAsia="de-DE"/>
              </w:rPr>
              <w:t>]</w:t>
            </w:r>
          </w:p>
        </w:tc>
      </w:tr>
    </w:tbl>
    <w:p w14:paraId="48E0730F"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688ABB9F" w14:textId="77777777" w:rsidTr="00AA1ABF">
        <w:tc>
          <w:tcPr>
            <w:tcW w:w="9212" w:type="dxa"/>
          </w:tcPr>
          <w:p w14:paraId="65AAE7C7" w14:textId="77777777" w:rsidR="00016B86" w:rsidRPr="00016B86" w:rsidRDefault="00016B86" w:rsidP="00016B86">
            <w:pPr>
              <w:tabs>
                <w:tab w:val="left" w:pos="7465"/>
              </w:tabs>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 xml:space="preserve">Wurde für diese angefragte Untersuchungs- und Behandlungsmethode von Ihrem Krankenhaus bereits vor dem 01.01.2025 eine Anfrage gemäß §6 Abs. 2 </w:t>
            </w:r>
            <w:proofErr w:type="spellStart"/>
            <w:r w:rsidRPr="00016B86">
              <w:rPr>
                <w:rFonts w:ascii="Arial Narrow" w:eastAsia="Times New Roman" w:hAnsi="Arial Narrow" w:cs="Arial"/>
                <w:b/>
                <w:sz w:val="22"/>
                <w:lang w:eastAsia="de-DE"/>
              </w:rPr>
              <w:t>KHEntG</w:t>
            </w:r>
            <w:proofErr w:type="spellEnd"/>
            <w:r w:rsidRPr="00016B86">
              <w:rPr>
                <w:rFonts w:ascii="Arial Narrow" w:eastAsia="Times New Roman" w:hAnsi="Arial Narrow" w:cs="Arial"/>
                <w:b/>
                <w:sz w:val="22"/>
                <w:lang w:eastAsia="de-DE"/>
              </w:rPr>
              <w:t xml:space="preserve"> an das InEK übermittelt?</w:t>
            </w:r>
          </w:p>
        </w:tc>
      </w:tr>
      <w:tr w:rsidR="00016B86" w:rsidRPr="00016B86" w14:paraId="708AC152" w14:textId="77777777" w:rsidTr="00AA1ABF">
        <w:tc>
          <w:tcPr>
            <w:tcW w:w="9212" w:type="dxa"/>
          </w:tcPr>
          <w:p w14:paraId="2D4CA60B" w14:textId="77777777" w:rsidR="00016B86" w:rsidRPr="00016B86" w:rsidRDefault="00016B86" w:rsidP="00016B86">
            <w:pPr>
              <w:spacing w:after="0" w:line="240" w:lineRule="auto"/>
              <w:rPr>
                <w:rFonts w:ascii="Arial Narrow" w:eastAsia="Times New Roman" w:hAnsi="Arial Narrow" w:cs="Arial"/>
                <w:sz w:val="22"/>
                <w:highlight w:val="yellow"/>
                <w:lang w:eastAsia="de-DE"/>
              </w:rPr>
            </w:pPr>
            <w:r w:rsidRPr="00016B86">
              <w:rPr>
                <w:rFonts w:ascii="Arial Narrow" w:eastAsia="Times New Roman" w:hAnsi="Arial Narrow" w:cs="Arial"/>
                <w:sz w:val="22"/>
                <w:highlight w:val="yellow"/>
                <w:lang w:eastAsia="de-DE"/>
              </w:rPr>
              <w:t xml:space="preserve">[Ja/nein ankreuzen. Bei </w:t>
            </w:r>
            <w:proofErr w:type="gramStart"/>
            <w:r w:rsidRPr="00016B86">
              <w:rPr>
                <w:rFonts w:ascii="Arial Narrow" w:eastAsia="Times New Roman" w:hAnsi="Arial Narrow" w:cs="Arial"/>
                <w:sz w:val="22"/>
                <w:highlight w:val="yellow"/>
                <w:lang w:eastAsia="de-DE"/>
              </w:rPr>
              <w:t>ja Nummer</w:t>
            </w:r>
            <w:proofErr w:type="gramEnd"/>
            <w:r w:rsidRPr="00016B86">
              <w:rPr>
                <w:rFonts w:ascii="Arial Narrow" w:eastAsia="Times New Roman" w:hAnsi="Arial Narrow" w:cs="Arial"/>
                <w:sz w:val="22"/>
                <w:highlight w:val="yellow"/>
                <w:lang w:eastAsia="de-DE"/>
              </w:rPr>
              <w:t xml:space="preserve"> aus Liste auswählen]</w:t>
            </w:r>
          </w:p>
        </w:tc>
      </w:tr>
    </w:tbl>
    <w:p w14:paraId="16275204"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024EFECB" w14:textId="77777777" w:rsidTr="204BE7DC">
        <w:tc>
          <w:tcPr>
            <w:tcW w:w="9212" w:type="dxa"/>
          </w:tcPr>
          <w:p w14:paraId="7D82143A"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Beschreibung der neuen Methode</w:t>
            </w:r>
          </w:p>
        </w:tc>
      </w:tr>
      <w:tr w:rsidR="00016B86" w:rsidRPr="00016B86" w14:paraId="3A361F9F" w14:textId="77777777" w:rsidTr="204BE7DC">
        <w:tc>
          <w:tcPr>
            <w:tcW w:w="9212" w:type="dxa"/>
          </w:tcPr>
          <w:p w14:paraId="2B915FD4" w14:textId="77777777" w:rsidR="00016B86" w:rsidRPr="00016B86" w:rsidRDefault="00016B86" w:rsidP="00016B86">
            <w:pPr>
              <w:spacing w:after="0" w:line="240" w:lineRule="auto"/>
              <w:rPr>
                <w:rFonts w:ascii="Arial Narrow" w:eastAsia="Times New Roman" w:hAnsi="Arial Narrow" w:cs="Arial"/>
                <w:sz w:val="22"/>
                <w:u w:val="single"/>
                <w:lang w:eastAsia="de-DE"/>
              </w:rPr>
            </w:pPr>
            <w:r w:rsidRPr="00016B86">
              <w:rPr>
                <w:rFonts w:ascii="Arial Narrow" w:eastAsia="Times New Roman" w:hAnsi="Arial Narrow" w:cs="Arial"/>
                <w:sz w:val="22"/>
                <w:u w:val="single"/>
                <w:lang w:eastAsia="de-DE"/>
              </w:rPr>
              <w:t>Wirkweise:</w:t>
            </w:r>
          </w:p>
          <w:p w14:paraId="031616B2" w14:textId="10138294" w:rsidR="00016B86" w:rsidRPr="00016B86" w:rsidRDefault="00016B86" w:rsidP="204BE7DC">
            <w:pPr>
              <w:spacing w:after="0" w:line="240" w:lineRule="auto"/>
              <w:rPr>
                <w:rFonts w:ascii="Arial Narrow" w:eastAsia="Times New Roman" w:hAnsi="Arial Narrow" w:cs="Arial"/>
                <w:sz w:val="22"/>
                <w:szCs w:val="22"/>
                <w:lang w:eastAsia="de-DE"/>
              </w:rPr>
            </w:pPr>
            <w:proofErr w:type="spellStart"/>
            <w:r w:rsidRPr="204BE7DC">
              <w:rPr>
                <w:rFonts w:ascii="Arial Narrow" w:eastAsia="Times New Roman" w:hAnsi="Arial Narrow" w:cs="Arial"/>
                <w:sz w:val="22"/>
                <w:szCs w:val="22"/>
                <w:lang w:eastAsia="de-DE"/>
              </w:rPr>
              <w:t>Nirmatrelvir</w:t>
            </w:r>
            <w:proofErr w:type="spellEnd"/>
            <w:r w:rsidRPr="204BE7DC">
              <w:rPr>
                <w:rFonts w:ascii="Arial Narrow" w:eastAsia="Times New Roman" w:hAnsi="Arial Narrow" w:cs="Arial"/>
                <w:sz w:val="22"/>
                <w:szCs w:val="22"/>
                <w:lang w:eastAsia="de-DE"/>
              </w:rPr>
              <w:t xml:space="preserve"> (PF-07321332) ist ein </w:t>
            </w:r>
            <w:proofErr w:type="spellStart"/>
            <w:r w:rsidRPr="204BE7DC">
              <w:rPr>
                <w:rFonts w:ascii="Arial Narrow" w:eastAsia="Times New Roman" w:hAnsi="Arial Narrow" w:cs="Arial"/>
                <w:sz w:val="22"/>
                <w:szCs w:val="22"/>
                <w:lang w:eastAsia="de-DE"/>
              </w:rPr>
              <w:t>peptidomimetischer</w:t>
            </w:r>
            <w:proofErr w:type="spellEnd"/>
            <w:r w:rsidRPr="204BE7DC">
              <w:rPr>
                <w:rFonts w:ascii="Arial Narrow" w:eastAsia="Times New Roman" w:hAnsi="Arial Narrow" w:cs="Arial"/>
                <w:sz w:val="22"/>
                <w:szCs w:val="22"/>
                <w:lang w:eastAsia="de-DE"/>
              </w:rPr>
              <w:t xml:space="preserve"> Inhibitor der SARS-CoV-2-Hauptprotease (</w:t>
            </w:r>
            <w:proofErr w:type="spellStart"/>
            <w:r w:rsidRPr="204BE7DC">
              <w:rPr>
                <w:rFonts w:ascii="Arial Narrow" w:eastAsia="Times New Roman" w:hAnsi="Arial Narrow" w:cs="Arial"/>
                <w:sz w:val="22"/>
                <w:szCs w:val="22"/>
                <w:lang w:eastAsia="de-DE"/>
              </w:rPr>
              <w:t>main</w:t>
            </w:r>
            <w:proofErr w:type="spellEnd"/>
            <w:r w:rsidRPr="204BE7DC">
              <w:rPr>
                <w:rFonts w:ascii="Arial Narrow" w:eastAsia="Times New Roman" w:hAnsi="Arial Narrow" w:cs="Arial"/>
                <w:sz w:val="22"/>
                <w:szCs w:val="22"/>
                <w:lang w:eastAsia="de-DE"/>
              </w:rPr>
              <w:t xml:space="preserve"> </w:t>
            </w:r>
            <w:proofErr w:type="spellStart"/>
            <w:r w:rsidRPr="204BE7DC">
              <w:rPr>
                <w:rFonts w:ascii="Arial Narrow" w:eastAsia="Times New Roman" w:hAnsi="Arial Narrow" w:cs="Arial"/>
                <w:sz w:val="22"/>
                <w:szCs w:val="22"/>
                <w:lang w:eastAsia="de-DE"/>
              </w:rPr>
              <w:t>protease</w:t>
            </w:r>
            <w:proofErr w:type="spellEnd"/>
            <w:r w:rsidRPr="204BE7DC">
              <w:rPr>
                <w:rFonts w:ascii="Arial Narrow" w:eastAsia="Times New Roman" w:hAnsi="Arial Narrow" w:cs="Arial"/>
                <w:sz w:val="22"/>
                <w:szCs w:val="22"/>
                <w:lang w:eastAsia="de-DE"/>
              </w:rPr>
              <w:t xml:space="preserve">, </w:t>
            </w:r>
            <w:proofErr w:type="spellStart"/>
            <w:r w:rsidRPr="204BE7DC">
              <w:rPr>
                <w:rFonts w:ascii="Arial Narrow" w:eastAsia="Times New Roman" w:hAnsi="Arial Narrow" w:cs="Arial"/>
                <w:sz w:val="22"/>
                <w:szCs w:val="22"/>
                <w:lang w:eastAsia="de-DE"/>
              </w:rPr>
              <w:t>Mpro</w:t>
            </w:r>
            <w:proofErr w:type="spellEnd"/>
            <w:r w:rsidRPr="204BE7DC">
              <w:rPr>
                <w:rFonts w:ascii="Arial Narrow" w:eastAsia="Times New Roman" w:hAnsi="Arial Narrow" w:cs="Arial"/>
                <w:sz w:val="22"/>
                <w:szCs w:val="22"/>
                <w:lang w:eastAsia="de-DE"/>
              </w:rPr>
              <w:t xml:space="preserve">), die auch als 3C-ähnliche Protease (3CLpro) oder nsp5-Protease bezeichnet wird. Die Inhibition der SARS-CoV-2-Mpro macht das Protein unfähig, Polyproteinvorläufer zu verarbeiten, und verhindert so die Virusreplikation. Ritonavir hemmt den CYP3A-vermittelten Metabolismus von </w:t>
            </w:r>
            <w:proofErr w:type="spellStart"/>
            <w:r w:rsidR="2E97CAEF" w:rsidRPr="204BE7DC">
              <w:rPr>
                <w:rFonts w:ascii="Arial Narrow" w:eastAsia="Times New Roman" w:hAnsi="Arial Narrow" w:cs="Arial"/>
                <w:sz w:val="22"/>
                <w:szCs w:val="22"/>
                <w:lang w:eastAsia="de-DE"/>
              </w:rPr>
              <w:t>Nirmatrelvir</w:t>
            </w:r>
            <w:proofErr w:type="spellEnd"/>
            <w:r w:rsidRPr="204BE7DC">
              <w:rPr>
                <w:rFonts w:ascii="Arial Narrow" w:eastAsia="Times New Roman" w:hAnsi="Arial Narrow" w:cs="Arial"/>
                <w:sz w:val="22"/>
                <w:szCs w:val="22"/>
                <w:lang w:eastAsia="de-DE"/>
              </w:rPr>
              <w:t xml:space="preserve"> und sorgt so für eine höhere Plasmakonzentration von</w:t>
            </w:r>
            <w:r w:rsidR="5090D628" w:rsidRPr="204BE7DC">
              <w:rPr>
                <w:rFonts w:ascii="Arial Narrow" w:eastAsia="Times New Roman" w:hAnsi="Arial Narrow" w:cs="Arial"/>
                <w:sz w:val="22"/>
                <w:szCs w:val="22"/>
                <w:lang w:eastAsia="de-DE"/>
              </w:rPr>
              <w:t xml:space="preserve"> </w:t>
            </w:r>
            <w:proofErr w:type="spellStart"/>
            <w:r w:rsidR="5090D628" w:rsidRPr="204BE7DC">
              <w:rPr>
                <w:rFonts w:ascii="Arial Narrow" w:eastAsia="Times New Roman" w:hAnsi="Arial Narrow" w:cs="Arial"/>
                <w:sz w:val="22"/>
                <w:szCs w:val="22"/>
                <w:lang w:eastAsia="de-DE"/>
              </w:rPr>
              <w:t>Nirmatrelvir</w:t>
            </w:r>
            <w:proofErr w:type="spellEnd"/>
            <w:r w:rsidRPr="204BE7DC">
              <w:rPr>
                <w:rFonts w:ascii="Arial Narrow" w:eastAsia="Times New Roman" w:hAnsi="Arial Narrow" w:cs="Arial"/>
                <w:sz w:val="22"/>
                <w:szCs w:val="22"/>
                <w:lang w:eastAsia="de-DE"/>
              </w:rPr>
              <w:t>.</w:t>
            </w:r>
          </w:p>
          <w:p w14:paraId="01716A82" w14:textId="77777777" w:rsidR="00016B86" w:rsidRPr="00016B86" w:rsidRDefault="00016B86" w:rsidP="00016B86">
            <w:pPr>
              <w:spacing w:after="0" w:line="240" w:lineRule="auto"/>
              <w:rPr>
                <w:rFonts w:ascii="Arial Narrow" w:eastAsia="Times New Roman" w:hAnsi="Arial Narrow" w:cs="Arial"/>
                <w:sz w:val="22"/>
                <w:lang w:eastAsia="de-DE"/>
              </w:rPr>
            </w:pPr>
          </w:p>
          <w:p w14:paraId="770FA769" w14:textId="77777777" w:rsidR="00016B86" w:rsidRPr="00016B86" w:rsidRDefault="00016B86" w:rsidP="00016B86">
            <w:pPr>
              <w:spacing w:after="0" w:line="240" w:lineRule="auto"/>
              <w:rPr>
                <w:rFonts w:ascii="Arial Narrow" w:eastAsia="Times New Roman" w:hAnsi="Arial Narrow" w:cs="Arial"/>
                <w:sz w:val="22"/>
                <w:u w:val="single"/>
                <w:lang w:eastAsia="de-DE"/>
              </w:rPr>
            </w:pPr>
            <w:r w:rsidRPr="00016B86">
              <w:rPr>
                <w:rFonts w:ascii="Arial Narrow" w:eastAsia="Times New Roman" w:hAnsi="Arial Narrow" w:cs="Arial"/>
                <w:sz w:val="22"/>
                <w:u w:val="single"/>
                <w:lang w:eastAsia="de-DE"/>
              </w:rPr>
              <w:t>Evidenzlage:</w:t>
            </w:r>
          </w:p>
          <w:p w14:paraId="2E966219" w14:textId="77777777" w:rsidR="00016B86" w:rsidRDefault="00016B86" w:rsidP="00016B86">
            <w:pPr>
              <w:spacing w:after="0" w:line="240" w:lineRule="auto"/>
              <w:rPr>
                <w:rFonts w:ascii="Arial Narrow" w:eastAsia="Times New Roman" w:hAnsi="Arial Narrow" w:cs="Arial"/>
                <w:sz w:val="22"/>
                <w:lang w:eastAsia="de-DE"/>
              </w:rPr>
            </w:pPr>
            <w:r w:rsidRPr="00016B86">
              <w:rPr>
                <w:rFonts w:ascii="Arial Narrow" w:eastAsia="Times New Roman" w:hAnsi="Arial Narrow" w:cs="Arial"/>
                <w:sz w:val="22"/>
                <w:lang w:eastAsia="de-DE"/>
              </w:rPr>
              <w:t xml:space="preserve">In der EPIC-HR-Studie, einer randomisierten, doppelblinden, Placebo-kontrollierten Phase2/3-Studie an nicht-hospitalisierten, symptomatischen, erwachsenen </w:t>
            </w:r>
            <w:proofErr w:type="spellStart"/>
            <w:r w:rsidRPr="00016B86">
              <w:rPr>
                <w:rFonts w:ascii="Arial Narrow" w:eastAsia="Times New Roman" w:hAnsi="Arial Narrow" w:cs="Arial"/>
                <w:sz w:val="22"/>
                <w:lang w:eastAsia="de-DE"/>
              </w:rPr>
              <w:t>Teilnehmer:innen</w:t>
            </w:r>
            <w:proofErr w:type="spellEnd"/>
            <w:r w:rsidRPr="00016B86">
              <w:rPr>
                <w:rFonts w:ascii="Arial Narrow" w:eastAsia="Times New Roman" w:hAnsi="Arial Narrow" w:cs="Arial"/>
                <w:sz w:val="22"/>
                <w:lang w:eastAsia="de-DE"/>
              </w:rPr>
              <w:t xml:space="preserve"> mit laborbestätigter Diagnose einer SARS-CoV-2-Infektion, betrug die geschätzte Risikoreduktion durch </w:t>
            </w:r>
            <w:proofErr w:type="spellStart"/>
            <w:r w:rsidRPr="00016B86">
              <w:rPr>
                <w:rFonts w:ascii="Arial Narrow" w:eastAsia="Times New Roman" w:hAnsi="Arial Narrow" w:cs="Arial"/>
                <w:sz w:val="22"/>
                <w:lang w:eastAsia="de-DE"/>
              </w:rPr>
              <w:t>Nirmatrelvir</w:t>
            </w:r>
            <w:proofErr w:type="spellEnd"/>
            <w:r w:rsidRPr="00016B86">
              <w:rPr>
                <w:rFonts w:ascii="Arial Narrow" w:eastAsia="Times New Roman" w:hAnsi="Arial Narrow" w:cs="Arial"/>
                <w:sz w:val="22"/>
                <w:lang w:eastAsia="de-DE"/>
              </w:rPr>
              <w:t xml:space="preserve">/Ritonavir −6,1 % mit einem 95 %-KI von (−8,2 % bis −4,1 %) bei Teilnehmern, die innerhalb von 3 Tagen nach Symptombeginn behandelt wurden, und −4,6 % mit einem 95 %-KI von (−7,4 % bis −1,8 %) in der mITT1-Untergruppe der Teilnehmer, die innerhalb von 5 Tagen nach Symptombeginn behandelt wurden. Nebenwirkungen traten in der Verum- und in der Placebo-Gruppe ungefähr gleich häufig auf. Die häufigsten Nebenwirkungen, die während der Behandlung mit </w:t>
            </w:r>
            <w:proofErr w:type="spellStart"/>
            <w:r w:rsidRPr="00016B86">
              <w:rPr>
                <w:rFonts w:ascii="Arial Narrow" w:eastAsia="Times New Roman" w:hAnsi="Arial Narrow" w:cs="Arial"/>
                <w:sz w:val="22"/>
                <w:lang w:eastAsia="de-DE"/>
              </w:rPr>
              <w:t>Nirmatrelvir</w:t>
            </w:r>
            <w:proofErr w:type="spellEnd"/>
            <w:r w:rsidRPr="00016B86">
              <w:rPr>
                <w:rFonts w:ascii="Arial Narrow" w:eastAsia="Times New Roman" w:hAnsi="Arial Narrow" w:cs="Arial"/>
                <w:sz w:val="22"/>
                <w:lang w:eastAsia="de-DE"/>
              </w:rPr>
              <w:t>/ Ritonavir 300 mg/100 mg gemeldet wurden, waren Geschmacksstörungen (4,6 %), Diarrhö (3,0 %), Kopfschmerzen (1,2 %) und Erbrechen (1,2 %).</w:t>
            </w:r>
          </w:p>
          <w:p w14:paraId="614B4BD5" w14:textId="77777777" w:rsidR="001E247C" w:rsidRDefault="001E247C" w:rsidP="00016B86">
            <w:pPr>
              <w:spacing w:after="0" w:line="240" w:lineRule="auto"/>
              <w:rPr>
                <w:rFonts w:ascii="Arial Narrow" w:eastAsia="Times New Roman" w:hAnsi="Arial Narrow" w:cs="Arial"/>
                <w:sz w:val="22"/>
                <w:lang w:eastAsia="de-DE"/>
              </w:rPr>
            </w:pPr>
          </w:p>
          <w:p w14:paraId="165BF6AB" w14:textId="77777777" w:rsidR="001E247C" w:rsidRPr="002B311F" w:rsidRDefault="001E247C" w:rsidP="204BE7DC">
            <w:pPr>
              <w:spacing w:after="0" w:line="240" w:lineRule="auto"/>
              <w:rPr>
                <w:rFonts w:ascii="Arial Narrow" w:eastAsia="Times New Roman" w:hAnsi="Arial Narrow" w:cs="Arial"/>
                <w:sz w:val="22"/>
                <w:szCs w:val="22"/>
                <w:lang w:eastAsia="de-DE"/>
              </w:rPr>
            </w:pPr>
            <w:r w:rsidRPr="002B311F">
              <w:rPr>
                <w:rFonts w:ascii="Arial Narrow" w:eastAsia="Times New Roman" w:hAnsi="Arial Narrow" w:cs="Arial"/>
                <w:sz w:val="22"/>
                <w:szCs w:val="22"/>
                <w:lang w:eastAsia="de-DE"/>
              </w:rPr>
              <w:t>In der EPIC-</w:t>
            </w:r>
            <w:proofErr w:type="spellStart"/>
            <w:r w:rsidRPr="002B311F">
              <w:rPr>
                <w:rFonts w:ascii="Arial Narrow" w:eastAsia="Times New Roman" w:hAnsi="Arial Narrow" w:cs="Arial"/>
                <w:sz w:val="22"/>
                <w:szCs w:val="22"/>
                <w:lang w:eastAsia="de-DE"/>
              </w:rPr>
              <w:t>Peds</w:t>
            </w:r>
            <w:proofErr w:type="spellEnd"/>
            <w:r w:rsidRPr="002B311F">
              <w:rPr>
                <w:rFonts w:ascii="Arial Narrow" w:eastAsia="Times New Roman" w:hAnsi="Arial Narrow" w:cs="Arial"/>
                <w:sz w:val="22"/>
                <w:szCs w:val="22"/>
                <w:lang w:eastAsia="de-DE"/>
              </w:rPr>
              <w:t>-Studie, einer einarmigen Phase 2/3 Studie an nicht-hospitalisierten, symptomatischen,</w:t>
            </w:r>
          </w:p>
          <w:p w14:paraId="6112BFAF" w14:textId="77777777" w:rsidR="001E247C" w:rsidRPr="002B311F" w:rsidRDefault="001E247C" w:rsidP="204BE7DC">
            <w:pPr>
              <w:spacing w:after="0" w:line="240" w:lineRule="auto"/>
              <w:rPr>
                <w:rFonts w:ascii="Arial Narrow" w:eastAsia="Times New Roman" w:hAnsi="Arial Narrow" w:cs="Arial"/>
                <w:sz w:val="22"/>
                <w:szCs w:val="22"/>
                <w:lang w:eastAsia="de-DE"/>
              </w:rPr>
            </w:pPr>
            <w:r w:rsidRPr="002B311F">
              <w:rPr>
                <w:rFonts w:ascii="Arial Narrow" w:eastAsia="Times New Roman" w:hAnsi="Arial Narrow" w:cs="Arial"/>
                <w:sz w:val="22"/>
                <w:szCs w:val="22"/>
                <w:lang w:eastAsia="de-DE"/>
              </w:rPr>
              <w:t xml:space="preserve">pädiatrischen </w:t>
            </w:r>
            <w:proofErr w:type="spellStart"/>
            <w:proofErr w:type="gramStart"/>
            <w:r w:rsidRPr="002B311F">
              <w:rPr>
                <w:rFonts w:ascii="Arial Narrow" w:eastAsia="Times New Roman" w:hAnsi="Arial Narrow" w:cs="Arial"/>
                <w:sz w:val="22"/>
                <w:szCs w:val="22"/>
                <w:lang w:eastAsia="de-DE"/>
              </w:rPr>
              <w:t>Teilnehmer:innen</w:t>
            </w:r>
            <w:proofErr w:type="spellEnd"/>
            <w:proofErr w:type="gramEnd"/>
            <w:r w:rsidRPr="002B311F">
              <w:rPr>
                <w:rFonts w:ascii="Arial Narrow" w:eastAsia="Times New Roman" w:hAnsi="Arial Narrow" w:cs="Arial"/>
                <w:sz w:val="22"/>
                <w:szCs w:val="22"/>
                <w:lang w:eastAsia="de-DE"/>
              </w:rPr>
              <w:t>, sind in den Kohorten 1 (Gewicht ≥40kg, Alter ≥6 bis &lt;18 Jahre, 2x täglich über 5</w:t>
            </w:r>
          </w:p>
          <w:p w14:paraId="275073F1" w14:textId="77777777" w:rsidR="001E247C" w:rsidRPr="002B311F" w:rsidRDefault="001E247C" w:rsidP="204BE7DC">
            <w:pPr>
              <w:spacing w:after="0" w:line="240" w:lineRule="auto"/>
              <w:rPr>
                <w:rFonts w:ascii="Arial Narrow" w:eastAsia="Times New Roman" w:hAnsi="Arial Narrow" w:cs="Arial"/>
                <w:sz w:val="22"/>
                <w:szCs w:val="22"/>
                <w:lang w:eastAsia="de-DE"/>
              </w:rPr>
            </w:pPr>
            <w:r w:rsidRPr="002B311F">
              <w:rPr>
                <w:rFonts w:ascii="Arial Narrow" w:eastAsia="Times New Roman" w:hAnsi="Arial Narrow" w:cs="Arial"/>
                <w:sz w:val="22"/>
                <w:szCs w:val="22"/>
                <w:lang w:eastAsia="de-DE"/>
              </w:rPr>
              <w:t xml:space="preserve">Tage 300 mg oder 150 mg </w:t>
            </w:r>
            <w:proofErr w:type="spellStart"/>
            <w:r w:rsidRPr="002B311F">
              <w:rPr>
                <w:rFonts w:ascii="Arial Narrow" w:eastAsia="Times New Roman" w:hAnsi="Arial Narrow" w:cs="Arial"/>
                <w:sz w:val="22"/>
                <w:szCs w:val="22"/>
                <w:lang w:eastAsia="de-DE"/>
              </w:rPr>
              <w:t>Nirmatrelvir</w:t>
            </w:r>
            <w:proofErr w:type="spellEnd"/>
            <w:r w:rsidRPr="002B311F">
              <w:rPr>
                <w:rFonts w:ascii="Arial Narrow" w:eastAsia="Times New Roman" w:hAnsi="Arial Narrow" w:cs="Arial"/>
                <w:sz w:val="22"/>
                <w:szCs w:val="22"/>
                <w:lang w:eastAsia="de-DE"/>
              </w:rPr>
              <w:t xml:space="preserve"> &amp; 100 mg Ritonavir) und 2 (Gewicht ≥20 </w:t>
            </w:r>
            <w:proofErr w:type="spellStart"/>
            <w:r w:rsidRPr="002B311F">
              <w:rPr>
                <w:rFonts w:ascii="Arial Narrow" w:eastAsia="Times New Roman" w:hAnsi="Arial Narrow" w:cs="Arial"/>
                <w:sz w:val="22"/>
                <w:szCs w:val="22"/>
                <w:lang w:eastAsia="de-DE"/>
              </w:rPr>
              <w:t>to</w:t>
            </w:r>
            <w:proofErr w:type="spellEnd"/>
            <w:r w:rsidRPr="002B311F">
              <w:rPr>
                <w:rFonts w:ascii="Arial Narrow" w:eastAsia="Times New Roman" w:hAnsi="Arial Narrow" w:cs="Arial"/>
                <w:sz w:val="22"/>
                <w:szCs w:val="22"/>
                <w:lang w:eastAsia="de-DE"/>
              </w:rPr>
              <w:t xml:space="preserve"> &lt;40 kg und Alter ≥6 bis &lt;18</w:t>
            </w:r>
          </w:p>
          <w:p w14:paraId="547CB672" w14:textId="77777777" w:rsidR="001E247C" w:rsidRPr="002B311F" w:rsidRDefault="001E247C" w:rsidP="204BE7DC">
            <w:pPr>
              <w:spacing w:after="0" w:line="240" w:lineRule="auto"/>
              <w:rPr>
                <w:rFonts w:ascii="Arial Narrow" w:eastAsia="Times New Roman" w:hAnsi="Arial Narrow" w:cs="Arial"/>
                <w:sz w:val="22"/>
                <w:szCs w:val="22"/>
                <w:lang w:eastAsia="de-DE"/>
              </w:rPr>
            </w:pPr>
            <w:r w:rsidRPr="002B311F">
              <w:rPr>
                <w:rFonts w:ascii="Arial Narrow" w:eastAsia="Times New Roman" w:hAnsi="Arial Narrow" w:cs="Arial"/>
                <w:sz w:val="22"/>
                <w:szCs w:val="22"/>
                <w:lang w:eastAsia="de-DE"/>
              </w:rPr>
              <w:t xml:space="preserve">Jahre, 2x täglich über 5 Tage 150 mg </w:t>
            </w:r>
            <w:proofErr w:type="spellStart"/>
            <w:r w:rsidRPr="002B311F">
              <w:rPr>
                <w:rFonts w:ascii="Arial Narrow" w:eastAsia="Times New Roman" w:hAnsi="Arial Narrow" w:cs="Arial"/>
                <w:sz w:val="22"/>
                <w:szCs w:val="22"/>
                <w:lang w:eastAsia="de-DE"/>
              </w:rPr>
              <w:t>Nirmatrelvir</w:t>
            </w:r>
            <w:proofErr w:type="spellEnd"/>
            <w:r w:rsidRPr="002B311F">
              <w:rPr>
                <w:rFonts w:ascii="Arial Narrow" w:eastAsia="Times New Roman" w:hAnsi="Arial Narrow" w:cs="Arial"/>
                <w:sz w:val="22"/>
                <w:szCs w:val="22"/>
                <w:lang w:eastAsia="de-DE"/>
              </w:rPr>
              <w:t xml:space="preserve"> &amp; 100 mg Ritonavir) keine behandlungsbedingten</w:t>
            </w:r>
          </w:p>
          <w:p w14:paraId="26894E30" w14:textId="77777777" w:rsidR="002B311F" w:rsidRDefault="001E247C" w:rsidP="204BE7DC">
            <w:pPr>
              <w:spacing w:after="0" w:line="240" w:lineRule="auto"/>
              <w:rPr>
                <w:rFonts w:ascii="Arial Narrow" w:eastAsia="Times New Roman" w:hAnsi="Arial Narrow" w:cs="Arial"/>
                <w:sz w:val="22"/>
                <w:szCs w:val="22"/>
                <w:lang w:eastAsia="de-DE"/>
              </w:rPr>
            </w:pPr>
            <w:r w:rsidRPr="002B311F">
              <w:rPr>
                <w:rFonts w:ascii="Arial Narrow" w:eastAsia="Times New Roman" w:hAnsi="Arial Narrow" w:cs="Arial"/>
                <w:sz w:val="22"/>
                <w:szCs w:val="22"/>
                <w:lang w:eastAsia="de-DE"/>
              </w:rPr>
              <w:t>unerwünschten Ereignisse jeglicher Ursache aufgetreten.</w:t>
            </w:r>
            <w:r w:rsidR="00744580" w:rsidRPr="002B311F">
              <w:rPr>
                <w:rFonts w:ascii="Arial Narrow" w:eastAsia="Times New Roman" w:hAnsi="Arial Narrow" w:cs="Arial"/>
                <w:sz w:val="22"/>
                <w:szCs w:val="22"/>
                <w:lang w:eastAsia="de-DE"/>
              </w:rPr>
              <w:t xml:space="preserve"> </w:t>
            </w:r>
            <w:r w:rsidRPr="002B311F">
              <w:rPr>
                <w:rFonts w:ascii="Arial Narrow" w:eastAsia="Times New Roman" w:hAnsi="Arial Narrow" w:cs="Arial"/>
                <w:sz w:val="22"/>
                <w:szCs w:val="22"/>
                <w:lang w:eastAsia="de-DE"/>
              </w:rPr>
              <w:t>Bei mehr als einer Person traten folgende unerwünschte Ereignisse jeglicher Ursache unter Behandlung bis</w:t>
            </w:r>
            <w:r w:rsidR="00744580" w:rsidRPr="002B311F">
              <w:rPr>
                <w:rFonts w:ascii="Arial Narrow" w:eastAsia="Times New Roman" w:hAnsi="Arial Narrow" w:cs="Arial"/>
                <w:sz w:val="22"/>
                <w:szCs w:val="22"/>
                <w:lang w:eastAsia="de-DE"/>
              </w:rPr>
              <w:t xml:space="preserve"> </w:t>
            </w:r>
            <w:r w:rsidRPr="002B311F">
              <w:rPr>
                <w:rFonts w:ascii="Arial Narrow" w:eastAsia="Times New Roman" w:hAnsi="Arial Narrow" w:cs="Arial"/>
                <w:sz w:val="22"/>
                <w:szCs w:val="22"/>
                <w:lang w:eastAsia="de-DE"/>
              </w:rPr>
              <w:t xml:space="preserve">einschließlich Tag 34 auf: Diarrhö und Kopfschmerzen (jeweils bei 3 </w:t>
            </w:r>
            <w:proofErr w:type="spellStart"/>
            <w:proofErr w:type="gramStart"/>
            <w:r w:rsidRPr="002B311F">
              <w:rPr>
                <w:rFonts w:ascii="Arial Narrow" w:eastAsia="Times New Roman" w:hAnsi="Arial Narrow" w:cs="Arial"/>
                <w:sz w:val="22"/>
                <w:szCs w:val="22"/>
                <w:lang w:eastAsia="de-DE"/>
              </w:rPr>
              <w:t>Teilnehmer:innen</w:t>
            </w:r>
            <w:proofErr w:type="spellEnd"/>
            <w:proofErr w:type="gramEnd"/>
            <w:r w:rsidRPr="002B311F">
              <w:rPr>
                <w:rFonts w:ascii="Arial Narrow" w:eastAsia="Times New Roman" w:hAnsi="Arial Narrow" w:cs="Arial"/>
                <w:sz w:val="22"/>
                <w:szCs w:val="22"/>
                <w:lang w:eastAsia="de-DE"/>
              </w:rPr>
              <w:t>, 4%) sowie Husten,</w:t>
            </w:r>
            <w:r w:rsidR="00744580" w:rsidRPr="002B311F">
              <w:rPr>
                <w:rFonts w:ascii="Arial Narrow" w:eastAsia="Times New Roman" w:hAnsi="Arial Narrow" w:cs="Arial"/>
                <w:sz w:val="22"/>
                <w:szCs w:val="22"/>
                <w:lang w:eastAsia="de-DE"/>
              </w:rPr>
              <w:t xml:space="preserve"> </w:t>
            </w:r>
            <w:r w:rsidRPr="002B311F">
              <w:rPr>
                <w:rFonts w:ascii="Arial Narrow" w:eastAsia="Times New Roman" w:hAnsi="Arial Narrow" w:cs="Arial"/>
                <w:sz w:val="22"/>
                <w:szCs w:val="22"/>
                <w:lang w:eastAsia="de-DE"/>
              </w:rPr>
              <w:t xml:space="preserve">Schwindel und Erbrechen (jeweils bei 2 </w:t>
            </w:r>
            <w:proofErr w:type="spellStart"/>
            <w:proofErr w:type="gramStart"/>
            <w:r w:rsidRPr="002B311F">
              <w:rPr>
                <w:rFonts w:ascii="Arial Narrow" w:eastAsia="Times New Roman" w:hAnsi="Arial Narrow" w:cs="Arial"/>
                <w:sz w:val="22"/>
                <w:szCs w:val="22"/>
                <w:lang w:eastAsia="de-DE"/>
              </w:rPr>
              <w:t>Teilnehmer:innen</w:t>
            </w:r>
            <w:proofErr w:type="spellEnd"/>
            <w:proofErr w:type="gramEnd"/>
            <w:r w:rsidRPr="002B311F">
              <w:rPr>
                <w:rFonts w:ascii="Arial Narrow" w:eastAsia="Times New Roman" w:hAnsi="Arial Narrow" w:cs="Arial"/>
                <w:sz w:val="22"/>
                <w:szCs w:val="22"/>
                <w:lang w:eastAsia="de-DE"/>
              </w:rPr>
              <w:t xml:space="preserve">, 3%). </w:t>
            </w:r>
          </w:p>
          <w:p w14:paraId="3C62FE1B" w14:textId="77777777" w:rsidR="002B311F" w:rsidRDefault="002B311F" w:rsidP="204BE7DC">
            <w:pPr>
              <w:spacing w:after="0" w:line="240" w:lineRule="auto"/>
              <w:rPr>
                <w:rFonts w:ascii="Arial Narrow" w:eastAsia="Times New Roman" w:hAnsi="Arial Narrow" w:cs="Arial"/>
                <w:sz w:val="22"/>
                <w:szCs w:val="22"/>
                <w:lang w:eastAsia="de-DE"/>
              </w:rPr>
            </w:pPr>
          </w:p>
          <w:p w14:paraId="4E609801" w14:textId="7C895A88" w:rsidR="00016B86" w:rsidRPr="002B311F" w:rsidRDefault="001E247C" w:rsidP="204BE7DC">
            <w:pPr>
              <w:spacing w:after="0" w:line="240" w:lineRule="auto"/>
              <w:rPr>
                <w:rFonts w:ascii="Arial Narrow" w:eastAsia="Times New Roman" w:hAnsi="Arial Narrow" w:cs="Arial"/>
                <w:sz w:val="22"/>
                <w:szCs w:val="22"/>
                <w:lang w:eastAsia="de-DE"/>
              </w:rPr>
            </w:pPr>
            <w:r w:rsidRPr="002B311F">
              <w:rPr>
                <w:rFonts w:ascii="Arial Narrow" w:eastAsia="Times New Roman" w:hAnsi="Arial Narrow" w:cs="Arial"/>
                <w:sz w:val="22"/>
                <w:szCs w:val="22"/>
                <w:lang w:eastAsia="de-DE"/>
              </w:rPr>
              <w:t xml:space="preserve">Ergebnisse mehrerer Studien zeigen, dass </w:t>
            </w:r>
            <w:proofErr w:type="spellStart"/>
            <w:r w:rsidRPr="002B311F">
              <w:rPr>
                <w:rFonts w:ascii="Arial Narrow" w:eastAsia="Times New Roman" w:hAnsi="Arial Narrow" w:cs="Arial"/>
                <w:sz w:val="22"/>
                <w:szCs w:val="22"/>
                <w:lang w:eastAsia="de-DE"/>
              </w:rPr>
              <w:t>Nirmatrelvir</w:t>
            </w:r>
            <w:proofErr w:type="spellEnd"/>
            <w:r w:rsidRPr="002B311F">
              <w:rPr>
                <w:rFonts w:ascii="Arial Narrow" w:eastAsia="Times New Roman" w:hAnsi="Arial Narrow" w:cs="Arial"/>
                <w:sz w:val="22"/>
                <w:szCs w:val="22"/>
                <w:lang w:eastAsia="de-DE"/>
              </w:rPr>
              <w:t xml:space="preserve">/ Ritonavir gegen die Omikron-Variante und deren Subvarianten in vitro gut wirksam ist. </w:t>
            </w:r>
            <w:proofErr w:type="spellStart"/>
            <w:r w:rsidRPr="002B311F">
              <w:rPr>
                <w:rFonts w:ascii="Arial Narrow" w:eastAsia="Times New Roman" w:hAnsi="Arial Narrow" w:cs="Arial"/>
                <w:sz w:val="22"/>
                <w:szCs w:val="22"/>
                <w:lang w:eastAsia="de-DE"/>
              </w:rPr>
              <w:t>Desweiteren</w:t>
            </w:r>
            <w:proofErr w:type="spellEnd"/>
            <w:r w:rsidRPr="002B311F">
              <w:rPr>
                <w:rFonts w:ascii="Arial Narrow" w:eastAsia="Times New Roman" w:hAnsi="Arial Narrow" w:cs="Arial"/>
                <w:sz w:val="22"/>
                <w:szCs w:val="22"/>
                <w:lang w:eastAsia="de-DE"/>
              </w:rPr>
              <w:t xml:space="preserve"> legt eine aktuelle Studie nahe, dass </w:t>
            </w:r>
            <w:proofErr w:type="spellStart"/>
            <w:r w:rsidRPr="002B311F">
              <w:rPr>
                <w:rFonts w:ascii="Arial Narrow" w:eastAsia="Times New Roman" w:hAnsi="Arial Narrow" w:cs="Arial"/>
                <w:sz w:val="22"/>
                <w:szCs w:val="22"/>
                <w:lang w:eastAsia="de-DE"/>
              </w:rPr>
              <w:t>Nirmatrelvir</w:t>
            </w:r>
            <w:proofErr w:type="spellEnd"/>
            <w:r w:rsidRPr="002B311F">
              <w:rPr>
                <w:rFonts w:ascii="Arial Narrow" w:eastAsia="Times New Roman" w:hAnsi="Arial Narrow" w:cs="Arial"/>
                <w:sz w:val="22"/>
                <w:szCs w:val="22"/>
                <w:lang w:eastAsia="de-DE"/>
              </w:rPr>
              <w:t xml:space="preserve">/Ritonavir in </w:t>
            </w:r>
            <w:r w:rsidRPr="002B311F">
              <w:rPr>
                <w:rFonts w:ascii="Arial Narrow" w:eastAsia="Times New Roman" w:hAnsi="Arial Narrow" w:cs="Arial"/>
                <w:sz w:val="22"/>
                <w:szCs w:val="22"/>
                <w:lang w:eastAsia="de-DE"/>
              </w:rPr>
              <w:lastRenderedPageBreak/>
              <w:t xml:space="preserve">der Praxisanwendung bei ambulanten </w:t>
            </w:r>
            <w:proofErr w:type="spellStart"/>
            <w:proofErr w:type="gramStart"/>
            <w:r w:rsidRPr="002B311F">
              <w:rPr>
                <w:rFonts w:ascii="Arial Narrow" w:eastAsia="Times New Roman" w:hAnsi="Arial Narrow" w:cs="Arial"/>
                <w:sz w:val="22"/>
                <w:szCs w:val="22"/>
                <w:lang w:eastAsia="de-DE"/>
              </w:rPr>
              <w:t>Patient:innen</w:t>
            </w:r>
            <w:proofErr w:type="spellEnd"/>
            <w:proofErr w:type="gramEnd"/>
            <w:r w:rsidRPr="002B311F">
              <w:rPr>
                <w:rFonts w:ascii="Arial Narrow" w:eastAsia="Times New Roman" w:hAnsi="Arial Narrow" w:cs="Arial"/>
                <w:sz w:val="22"/>
                <w:szCs w:val="22"/>
                <w:lang w:eastAsia="de-DE"/>
              </w:rPr>
              <w:t xml:space="preserve"> mit COVID-19 während der Zeit der Omikron-Varianten, einschließlich BA.4 und BA.5, ebenfalls wirksam ist.</w:t>
            </w:r>
          </w:p>
          <w:p w14:paraId="36D1F205" w14:textId="77777777" w:rsidR="00771A95" w:rsidRPr="002B311F" w:rsidRDefault="00771A95" w:rsidP="00016B86">
            <w:pPr>
              <w:spacing w:after="0" w:line="240" w:lineRule="auto"/>
              <w:rPr>
                <w:rFonts w:ascii="Arial Narrow" w:eastAsia="Times New Roman" w:hAnsi="Arial Narrow" w:cs="Arial"/>
                <w:sz w:val="22"/>
                <w:lang w:eastAsia="de-DE"/>
              </w:rPr>
            </w:pPr>
          </w:p>
          <w:p w14:paraId="6AB44E01" w14:textId="77777777" w:rsidR="00016B86" w:rsidRPr="00016B86" w:rsidRDefault="00016B86" w:rsidP="00016B86">
            <w:pPr>
              <w:spacing w:after="0" w:line="240" w:lineRule="auto"/>
              <w:rPr>
                <w:rFonts w:ascii="Arial Narrow" w:eastAsia="Times New Roman" w:hAnsi="Arial Narrow" w:cs="Arial"/>
                <w:sz w:val="22"/>
                <w:u w:val="single"/>
                <w:lang w:eastAsia="de-DE"/>
              </w:rPr>
            </w:pPr>
            <w:r w:rsidRPr="00016B86">
              <w:rPr>
                <w:rFonts w:ascii="Arial Narrow" w:eastAsia="Times New Roman" w:hAnsi="Arial Narrow" w:cs="Arial"/>
                <w:sz w:val="22"/>
                <w:u w:val="single"/>
                <w:lang w:eastAsia="de-DE"/>
              </w:rPr>
              <w:t>Dosierung:</w:t>
            </w:r>
          </w:p>
          <w:p w14:paraId="321ADB0D" w14:textId="77777777" w:rsidR="00A76F89" w:rsidRDefault="007B3358" w:rsidP="00016B86">
            <w:pPr>
              <w:spacing w:after="0" w:line="240" w:lineRule="auto"/>
              <w:rPr>
                <w:rFonts w:ascii="Arial Narrow" w:eastAsia="Times New Roman" w:hAnsi="Arial Narrow" w:cs="Arial"/>
                <w:sz w:val="22"/>
                <w:lang w:eastAsia="de-DE"/>
              </w:rPr>
            </w:pPr>
            <w:r w:rsidRPr="007B3358">
              <w:rPr>
                <w:rFonts w:ascii="Arial Narrow" w:eastAsia="Times New Roman" w:hAnsi="Arial Narrow" w:cs="Arial"/>
                <w:sz w:val="22"/>
                <w:lang w:eastAsia="de-DE"/>
              </w:rPr>
              <w:t xml:space="preserve">Die empfohlene Dosierung beträgt 300 mg </w:t>
            </w:r>
            <w:proofErr w:type="spellStart"/>
            <w:r w:rsidRPr="007B3358">
              <w:rPr>
                <w:rFonts w:ascii="Arial Narrow" w:eastAsia="Times New Roman" w:hAnsi="Arial Narrow" w:cs="Arial"/>
                <w:sz w:val="22"/>
                <w:lang w:eastAsia="de-DE"/>
              </w:rPr>
              <w:t>Nirmatrelvir</w:t>
            </w:r>
            <w:proofErr w:type="spellEnd"/>
            <w:r w:rsidRPr="007B3358">
              <w:rPr>
                <w:rFonts w:ascii="Arial Narrow" w:eastAsia="Times New Roman" w:hAnsi="Arial Narrow" w:cs="Arial"/>
                <w:sz w:val="22"/>
                <w:lang w:eastAsia="de-DE"/>
              </w:rPr>
              <w:t xml:space="preserve"> (zwei 150 mg Tabletten) und 100 mg Ritonavir (eine 100 mg Tablette) zur gleichzeitigen Einnahme alle 12 Stunden über einen Zeitraum von 5 Tagen. Bei </w:t>
            </w:r>
            <w:proofErr w:type="spellStart"/>
            <w:proofErr w:type="gramStart"/>
            <w:r w:rsidRPr="007B3358">
              <w:rPr>
                <w:rFonts w:ascii="Arial Narrow" w:eastAsia="Times New Roman" w:hAnsi="Arial Narrow" w:cs="Arial"/>
                <w:sz w:val="22"/>
                <w:lang w:eastAsia="de-DE"/>
              </w:rPr>
              <w:t>Patient:innen</w:t>
            </w:r>
            <w:proofErr w:type="spellEnd"/>
            <w:proofErr w:type="gramEnd"/>
            <w:r w:rsidRPr="007B3358">
              <w:rPr>
                <w:rFonts w:ascii="Arial Narrow" w:eastAsia="Times New Roman" w:hAnsi="Arial Narrow" w:cs="Arial"/>
                <w:sz w:val="22"/>
                <w:lang w:eastAsia="de-DE"/>
              </w:rPr>
              <w:t xml:space="preserve"> mit mäßiger Nierenfunktionsstörung (</w:t>
            </w:r>
            <w:proofErr w:type="spellStart"/>
            <w:r w:rsidRPr="007B3358">
              <w:rPr>
                <w:rFonts w:ascii="Arial Narrow" w:eastAsia="Times New Roman" w:hAnsi="Arial Narrow" w:cs="Arial"/>
                <w:sz w:val="22"/>
                <w:lang w:eastAsia="de-DE"/>
              </w:rPr>
              <w:t>eGFR</w:t>
            </w:r>
            <w:proofErr w:type="spellEnd"/>
            <w:r w:rsidRPr="007B3358">
              <w:rPr>
                <w:rFonts w:ascii="Arial Narrow" w:eastAsia="Times New Roman" w:hAnsi="Arial Narrow" w:cs="Arial"/>
                <w:sz w:val="22"/>
                <w:lang w:eastAsia="de-DE"/>
              </w:rPr>
              <w:t xml:space="preserve"> ≥ 30 bis &lt; 60 ml/min) sollte die </w:t>
            </w:r>
            <w:proofErr w:type="spellStart"/>
            <w:r w:rsidRPr="007B3358">
              <w:rPr>
                <w:rFonts w:ascii="Arial Narrow" w:eastAsia="Times New Roman" w:hAnsi="Arial Narrow" w:cs="Arial"/>
                <w:sz w:val="22"/>
                <w:lang w:eastAsia="de-DE"/>
              </w:rPr>
              <w:t>Nirmatrelvir</w:t>
            </w:r>
            <w:proofErr w:type="spellEnd"/>
            <w:r w:rsidRPr="007B3358">
              <w:rPr>
                <w:rFonts w:ascii="Arial Narrow" w:eastAsia="Times New Roman" w:hAnsi="Arial Narrow" w:cs="Arial"/>
                <w:sz w:val="22"/>
                <w:lang w:eastAsia="de-DE"/>
              </w:rPr>
              <w:t xml:space="preserve">/Ritonavir-Dosis auf 150 mg/100 mg </w:t>
            </w:r>
            <w:proofErr w:type="spellStart"/>
            <w:r w:rsidRPr="007B3358">
              <w:rPr>
                <w:rFonts w:ascii="Arial Narrow" w:eastAsia="Times New Roman" w:hAnsi="Arial Narrow" w:cs="Arial"/>
                <w:sz w:val="22"/>
                <w:lang w:eastAsia="de-DE"/>
              </w:rPr>
              <w:t>Nirmatrelvir</w:t>
            </w:r>
            <w:proofErr w:type="spellEnd"/>
            <w:r w:rsidRPr="007B3358">
              <w:rPr>
                <w:rFonts w:ascii="Arial Narrow" w:eastAsia="Times New Roman" w:hAnsi="Arial Narrow" w:cs="Arial"/>
                <w:sz w:val="22"/>
                <w:lang w:eastAsia="de-DE"/>
              </w:rPr>
              <w:t xml:space="preserve">/ Ritonavir alle 12 Stunden über 5 Tage reduziert werden, um eine Überexposition zu vermeiden. </w:t>
            </w:r>
          </w:p>
          <w:p w14:paraId="718C67BC" w14:textId="1ACFD493" w:rsidR="002B311F" w:rsidRDefault="007B3358" w:rsidP="00016B86">
            <w:pPr>
              <w:spacing w:after="0" w:line="240" w:lineRule="auto"/>
              <w:rPr>
                <w:rFonts w:ascii="Arial Narrow" w:eastAsia="Times New Roman" w:hAnsi="Arial Narrow" w:cs="Arial"/>
                <w:sz w:val="22"/>
                <w:lang w:eastAsia="de-DE"/>
              </w:rPr>
            </w:pPr>
            <w:r w:rsidRPr="007B3358">
              <w:rPr>
                <w:rFonts w:ascii="Arial Narrow" w:eastAsia="Times New Roman" w:hAnsi="Arial Narrow" w:cs="Arial"/>
                <w:sz w:val="22"/>
                <w:lang w:eastAsia="de-DE"/>
              </w:rPr>
              <w:t xml:space="preserve">Bei </w:t>
            </w:r>
            <w:proofErr w:type="spellStart"/>
            <w:proofErr w:type="gramStart"/>
            <w:r w:rsidRPr="007B3358">
              <w:rPr>
                <w:rFonts w:ascii="Arial Narrow" w:eastAsia="Times New Roman" w:hAnsi="Arial Narrow" w:cs="Arial"/>
                <w:sz w:val="22"/>
                <w:lang w:eastAsia="de-DE"/>
              </w:rPr>
              <w:t>Patient:innen</w:t>
            </w:r>
            <w:proofErr w:type="spellEnd"/>
            <w:proofErr w:type="gramEnd"/>
            <w:r w:rsidRPr="007B3358">
              <w:rPr>
                <w:rFonts w:ascii="Arial Narrow" w:eastAsia="Times New Roman" w:hAnsi="Arial Narrow" w:cs="Arial"/>
                <w:sz w:val="22"/>
                <w:lang w:eastAsia="de-DE"/>
              </w:rPr>
              <w:t xml:space="preserve"> mit schwerer Nierenfunktionsstörung (</w:t>
            </w:r>
            <w:proofErr w:type="spellStart"/>
            <w:r w:rsidRPr="007B3358">
              <w:rPr>
                <w:rFonts w:ascii="Arial Narrow" w:eastAsia="Times New Roman" w:hAnsi="Arial Narrow" w:cs="Arial"/>
                <w:sz w:val="22"/>
                <w:lang w:eastAsia="de-DE"/>
              </w:rPr>
              <w:t>eGFR</w:t>
            </w:r>
            <w:proofErr w:type="spellEnd"/>
            <w:r w:rsidRPr="007B3358">
              <w:rPr>
                <w:rFonts w:ascii="Arial Narrow" w:eastAsia="Times New Roman" w:hAnsi="Arial Narrow" w:cs="Arial"/>
                <w:sz w:val="22"/>
                <w:lang w:eastAsia="de-DE"/>
              </w:rPr>
              <w:t xml:space="preserve"> &lt; 30 ml/min, einschließlich </w:t>
            </w:r>
            <w:proofErr w:type="spellStart"/>
            <w:proofErr w:type="gramStart"/>
            <w:r w:rsidRPr="007B3358">
              <w:rPr>
                <w:rFonts w:ascii="Arial Narrow" w:eastAsia="Times New Roman" w:hAnsi="Arial Narrow" w:cs="Arial"/>
                <w:sz w:val="22"/>
                <w:lang w:eastAsia="de-DE"/>
              </w:rPr>
              <w:t>Patient:innen</w:t>
            </w:r>
            <w:proofErr w:type="spellEnd"/>
            <w:proofErr w:type="gramEnd"/>
            <w:r w:rsidRPr="007B3358">
              <w:rPr>
                <w:rFonts w:ascii="Arial Narrow" w:eastAsia="Times New Roman" w:hAnsi="Arial Narrow" w:cs="Arial"/>
                <w:sz w:val="22"/>
                <w:lang w:eastAsia="de-DE"/>
              </w:rPr>
              <w:t xml:space="preserve"> mit terminaler Niereninsuffizienz [End Stage Renal Disease, ESRD] unter Hämodialyse) sollte die Dosis folgendermaßen verringert werden, um eine Überexposition zu vermeiden: Tag 1: einmalig 300 mg/100 mg </w:t>
            </w:r>
            <w:proofErr w:type="spellStart"/>
            <w:r w:rsidRPr="007B3358">
              <w:rPr>
                <w:rFonts w:ascii="Arial Narrow" w:eastAsia="Times New Roman" w:hAnsi="Arial Narrow" w:cs="Arial"/>
                <w:sz w:val="22"/>
                <w:lang w:eastAsia="de-DE"/>
              </w:rPr>
              <w:t>Nirmatrelvir</w:t>
            </w:r>
            <w:proofErr w:type="spellEnd"/>
            <w:r w:rsidRPr="007B3358">
              <w:rPr>
                <w:rFonts w:ascii="Arial Narrow" w:eastAsia="Times New Roman" w:hAnsi="Arial Narrow" w:cs="Arial"/>
                <w:sz w:val="22"/>
                <w:lang w:eastAsia="de-DE"/>
              </w:rPr>
              <w:t xml:space="preserve">/ Ritonavir, Tag 2-5: einmal täglich 150 mg/100 mg </w:t>
            </w:r>
            <w:proofErr w:type="spellStart"/>
            <w:r w:rsidRPr="007B3358">
              <w:rPr>
                <w:rFonts w:ascii="Arial Narrow" w:eastAsia="Times New Roman" w:hAnsi="Arial Narrow" w:cs="Arial"/>
                <w:sz w:val="22"/>
                <w:lang w:eastAsia="de-DE"/>
              </w:rPr>
              <w:t>Nirmatrelvir</w:t>
            </w:r>
            <w:proofErr w:type="spellEnd"/>
            <w:r w:rsidRPr="007B3358">
              <w:rPr>
                <w:rFonts w:ascii="Arial Narrow" w:eastAsia="Times New Roman" w:hAnsi="Arial Narrow" w:cs="Arial"/>
                <w:sz w:val="22"/>
                <w:lang w:eastAsia="de-DE"/>
              </w:rPr>
              <w:t xml:space="preserve">/ Ritonavir. </w:t>
            </w:r>
          </w:p>
          <w:p w14:paraId="3D49A23B" w14:textId="77777777" w:rsidR="002B311F" w:rsidRDefault="002B311F" w:rsidP="00016B86">
            <w:pPr>
              <w:spacing w:after="0" w:line="240" w:lineRule="auto"/>
              <w:rPr>
                <w:rFonts w:ascii="Arial Narrow" w:eastAsia="Times New Roman" w:hAnsi="Arial Narrow" w:cs="Arial"/>
                <w:sz w:val="22"/>
                <w:lang w:eastAsia="de-DE"/>
              </w:rPr>
            </w:pPr>
          </w:p>
          <w:p w14:paraId="77A96FE2" w14:textId="32749374" w:rsidR="00016B86" w:rsidRPr="00016B86" w:rsidRDefault="007B3358" w:rsidP="00016B86">
            <w:pPr>
              <w:spacing w:after="0" w:line="240" w:lineRule="auto"/>
              <w:rPr>
                <w:rFonts w:ascii="Arial Narrow" w:eastAsia="Times New Roman" w:hAnsi="Arial Narrow" w:cs="Arial"/>
                <w:sz w:val="22"/>
                <w:lang w:eastAsia="de-DE"/>
              </w:rPr>
            </w:pPr>
            <w:r w:rsidRPr="007B3358">
              <w:rPr>
                <w:rFonts w:ascii="Arial Narrow" w:eastAsia="Times New Roman" w:hAnsi="Arial Narrow" w:cs="Arial"/>
                <w:sz w:val="22"/>
                <w:lang w:eastAsia="de-DE"/>
              </w:rPr>
              <w:t xml:space="preserve">Die empfohlene Dosierung für pädiatrische </w:t>
            </w:r>
            <w:proofErr w:type="spellStart"/>
            <w:proofErr w:type="gramStart"/>
            <w:r w:rsidRPr="007B3358">
              <w:rPr>
                <w:rFonts w:ascii="Arial Narrow" w:eastAsia="Times New Roman" w:hAnsi="Arial Narrow" w:cs="Arial"/>
                <w:sz w:val="22"/>
                <w:lang w:eastAsia="de-DE"/>
              </w:rPr>
              <w:t>Patient:innen</w:t>
            </w:r>
            <w:proofErr w:type="spellEnd"/>
            <w:proofErr w:type="gramEnd"/>
            <w:r w:rsidRPr="007B3358">
              <w:rPr>
                <w:rFonts w:ascii="Arial Narrow" w:eastAsia="Times New Roman" w:hAnsi="Arial Narrow" w:cs="Arial"/>
                <w:sz w:val="22"/>
                <w:lang w:eastAsia="de-DE"/>
              </w:rPr>
              <w:t xml:space="preserve"> ab 6 Jahren mit einem Körpergewicht von ≥ 40 kg beträgt 300 mg/100 mg </w:t>
            </w:r>
            <w:proofErr w:type="spellStart"/>
            <w:r w:rsidRPr="007B3358">
              <w:rPr>
                <w:rFonts w:ascii="Arial Narrow" w:eastAsia="Times New Roman" w:hAnsi="Arial Narrow" w:cs="Arial"/>
                <w:sz w:val="22"/>
                <w:lang w:eastAsia="de-DE"/>
              </w:rPr>
              <w:t>Nirmatrelvir</w:t>
            </w:r>
            <w:proofErr w:type="spellEnd"/>
            <w:r w:rsidRPr="007B3358">
              <w:rPr>
                <w:rFonts w:ascii="Arial Narrow" w:eastAsia="Times New Roman" w:hAnsi="Arial Narrow" w:cs="Arial"/>
                <w:sz w:val="22"/>
                <w:lang w:eastAsia="de-DE"/>
              </w:rPr>
              <w:t xml:space="preserve">/ Ritonavir, für pädiatrische </w:t>
            </w:r>
            <w:proofErr w:type="spellStart"/>
            <w:proofErr w:type="gramStart"/>
            <w:r w:rsidRPr="007B3358">
              <w:rPr>
                <w:rFonts w:ascii="Arial Narrow" w:eastAsia="Times New Roman" w:hAnsi="Arial Narrow" w:cs="Arial"/>
                <w:sz w:val="22"/>
                <w:lang w:eastAsia="de-DE"/>
              </w:rPr>
              <w:t>Patient:innen</w:t>
            </w:r>
            <w:proofErr w:type="spellEnd"/>
            <w:proofErr w:type="gramEnd"/>
            <w:r w:rsidRPr="007B3358">
              <w:rPr>
                <w:rFonts w:ascii="Arial Narrow" w:eastAsia="Times New Roman" w:hAnsi="Arial Narrow" w:cs="Arial"/>
                <w:sz w:val="22"/>
                <w:lang w:eastAsia="de-DE"/>
              </w:rPr>
              <w:t xml:space="preserve"> ab 6 Jahren mit einem Körpergewicht von ≥ 20 kg bis &lt; 40 kg beträgt die Dosierung 150 mg/100 mg </w:t>
            </w:r>
            <w:proofErr w:type="spellStart"/>
            <w:r w:rsidRPr="007B3358">
              <w:rPr>
                <w:rFonts w:ascii="Arial Narrow" w:eastAsia="Times New Roman" w:hAnsi="Arial Narrow" w:cs="Arial"/>
                <w:sz w:val="22"/>
                <w:lang w:eastAsia="de-DE"/>
              </w:rPr>
              <w:t>Nirmatrelvir</w:t>
            </w:r>
            <w:proofErr w:type="spellEnd"/>
            <w:r w:rsidRPr="007B3358">
              <w:rPr>
                <w:rFonts w:ascii="Arial Narrow" w:eastAsia="Times New Roman" w:hAnsi="Arial Narrow" w:cs="Arial"/>
                <w:sz w:val="22"/>
                <w:lang w:eastAsia="de-DE"/>
              </w:rPr>
              <w:t>/ Ritonavir, jeweils 2x täglich über 5 Tage.</w:t>
            </w:r>
            <w:r>
              <w:rPr>
                <w:rFonts w:ascii="Arial Narrow" w:eastAsia="Times New Roman" w:hAnsi="Arial Narrow" w:cs="Arial"/>
                <w:sz w:val="22"/>
                <w:lang w:eastAsia="de-DE"/>
              </w:rPr>
              <w:t xml:space="preserve"> </w:t>
            </w:r>
          </w:p>
        </w:tc>
      </w:tr>
    </w:tbl>
    <w:p w14:paraId="4967ED9A"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7EF79C28" w14:textId="77777777" w:rsidTr="00AA1ABF">
        <w:tc>
          <w:tcPr>
            <w:tcW w:w="9212" w:type="dxa"/>
          </w:tcPr>
          <w:p w14:paraId="33131ACB"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Mit welchem OPS wird die Methode verschlüsselt?</w:t>
            </w:r>
          </w:p>
        </w:tc>
      </w:tr>
      <w:tr w:rsidR="00016B86" w:rsidRPr="00016B86" w14:paraId="271C0BAB" w14:textId="77777777" w:rsidTr="00AA1ABF">
        <w:tc>
          <w:tcPr>
            <w:tcW w:w="9212" w:type="dxa"/>
          </w:tcPr>
          <w:p w14:paraId="7C2EB67E" w14:textId="77777777" w:rsidR="00016B86" w:rsidRPr="00016B86" w:rsidRDefault="00016B86" w:rsidP="00016B86">
            <w:pPr>
              <w:spacing w:after="0" w:line="240" w:lineRule="auto"/>
              <w:rPr>
                <w:rFonts w:ascii="Arial Narrow" w:eastAsia="Times New Roman" w:hAnsi="Arial Narrow" w:cs="Arial"/>
                <w:sz w:val="22"/>
                <w:highlight w:val="yellow"/>
                <w:lang w:eastAsia="de-DE"/>
              </w:rPr>
            </w:pPr>
            <w:r w:rsidRPr="00016B86">
              <w:rPr>
                <w:rFonts w:ascii="Arial Narrow" w:eastAsia="Times New Roman" w:hAnsi="Arial Narrow" w:cs="Arial"/>
                <w:sz w:val="22"/>
                <w:lang w:eastAsia="de-DE"/>
              </w:rPr>
              <w:t>6-00k.0</w:t>
            </w:r>
          </w:p>
        </w:tc>
      </w:tr>
    </w:tbl>
    <w:p w14:paraId="79F85764" w14:textId="77777777" w:rsidR="00016B86" w:rsidRPr="00016B86" w:rsidRDefault="00016B86" w:rsidP="00016B86">
      <w:pPr>
        <w:spacing w:after="0" w:line="240" w:lineRule="auto"/>
        <w:jc w:val="center"/>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1D89D528" w14:textId="77777777" w:rsidTr="00AA1ABF">
        <w:tc>
          <w:tcPr>
            <w:tcW w:w="9212" w:type="dxa"/>
          </w:tcPr>
          <w:p w14:paraId="473D80FA"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Anmerkungen zu den Prozeduren</w:t>
            </w:r>
          </w:p>
        </w:tc>
      </w:tr>
      <w:tr w:rsidR="00016B86" w:rsidRPr="00016B86" w14:paraId="19ADF802" w14:textId="77777777" w:rsidTr="00AA1ABF">
        <w:tc>
          <w:tcPr>
            <w:tcW w:w="9212" w:type="dxa"/>
          </w:tcPr>
          <w:p w14:paraId="4BC32D4E" w14:textId="77777777" w:rsidR="00016B86" w:rsidRPr="00016B86" w:rsidRDefault="00016B86" w:rsidP="00016B86">
            <w:pPr>
              <w:spacing w:after="0" w:line="240" w:lineRule="auto"/>
              <w:rPr>
                <w:rFonts w:ascii="Arial Narrow" w:eastAsia="Times New Roman" w:hAnsi="Arial Narrow" w:cs="Arial"/>
                <w:sz w:val="22"/>
                <w:szCs w:val="22"/>
                <w:lang w:eastAsia="de-DE"/>
              </w:rPr>
            </w:pPr>
          </w:p>
        </w:tc>
      </w:tr>
    </w:tbl>
    <w:p w14:paraId="42102311"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1F03EBDA" w14:textId="77777777" w:rsidTr="00AA1ABF">
        <w:tc>
          <w:tcPr>
            <w:tcW w:w="9212" w:type="dxa"/>
          </w:tcPr>
          <w:p w14:paraId="001E21D0"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Bei welchen Patienten wird die Methode angewandt (Indikation)?</w:t>
            </w:r>
          </w:p>
        </w:tc>
      </w:tr>
      <w:tr w:rsidR="00016B86" w:rsidRPr="00016B86" w14:paraId="4ACF080B" w14:textId="77777777" w:rsidTr="00AA1ABF">
        <w:tc>
          <w:tcPr>
            <w:tcW w:w="9212" w:type="dxa"/>
          </w:tcPr>
          <w:p w14:paraId="3FEB9859" w14:textId="77777777" w:rsidR="00016B86" w:rsidRDefault="00016B86" w:rsidP="00016B86">
            <w:pPr>
              <w:spacing w:after="0" w:line="240" w:lineRule="auto"/>
              <w:rPr>
                <w:rFonts w:ascii="Arial Narrow" w:eastAsia="Times New Roman" w:hAnsi="Arial Narrow" w:cs="Arial"/>
                <w:sz w:val="22"/>
                <w:szCs w:val="22"/>
                <w:lang w:eastAsia="de-DE"/>
              </w:rPr>
            </w:pP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190E4E">
              <w:rPr>
                <w:rFonts w:ascii="Arial Narrow" w:eastAsia="Times New Roman" w:hAnsi="Arial Narrow" w:cs="Arial"/>
                <w:sz w:val="22"/>
                <w:szCs w:val="22"/>
                <w:lang w:eastAsia="de-DE"/>
              </w:rPr>
              <w:t xml:space="preserve"> </w:t>
            </w:r>
            <w:r w:rsidRPr="00016B86">
              <w:rPr>
                <w:rFonts w:ascii="Arial Narrow" w:eastAsia="Times New Roman" w:hAnsi="Arial Narrow" w:cs="Arial"/>
                <w:sz w:val="22"/>
                <w:szCs w:val="22"/>
                <w:lang w:eastAsia="de-DE"/>
              </w:rPr>
              <w:t>ist indiziert zur Behandlung einer Coronavirus-Krankheit 2019 (COVID-19) bei Erwachsenen, die keine zusätzliche Sauerstoffzufuhr benötigen und ein erhöhtes Risiko haben, einen schweren COVID-19-Verlauf zu entwickeln.</w:t>
            </w:r>
          </w:p>
          <w:p w14:paraId="36C859C9" w14:textId="77777777" w:rsidR="004622E8" w:rsidRDefault="004622E8" w:rsidP="00016B86">
            <w:pPr>
              <w:spacing w:after="0" w:line="240" w:lineRule="auto"/>
              <w:rPr>
                <w:rFonts w:ascii="Arial Narrow" w:eastAsia="Times New Roman" w:hAnsi="Arial Narrow" w:cs="Arial"/>
                <w:sz w:val="22"/>
                <w:szCs w:val="22"/>
                <w:lang w:eastAsia="de-DE"/>
              </w:rPr>
            </w:pPr>
          </w:p>
          <w:p w14:paraId="747BC204" w14:textId="0CA2B790" w:rsidR="002849F9" w:rsidRPr="00016B86" w:rsidRDefault="002849F9" w:rsidP="00016B86">
            <w:pPr>
              <w:spacing w:after="0" w:line="240" w:lineRule="auto"/>
              <w:rPr>
                <w:rFonts w:ascii="Arial Narrow" w:eastAsia="Times New Roman" w:hAnsi="Arial Narrow" w:cs="Arial"/>
                <w:sz w:val="22"/>
                <w:szCs w:val="22"/>
                <w:lang w:eastAsia="de-DE"/>
              </w:rPr>
            </w:pPr>
            <w:r w:rsidRPr="002849F9">
              <w:rPr>
                <w:rFonts w:ascii="Arial Narrow" w:eastAsia="Times New Roman" w:hAnsi="Arial Narrow" w:cs="Arial"/>
                <w:sz w:val="22"/>
                <w:szCs w:val="22"/>
                <w:lang w:eastAsia="de-DE"/>
              </w:rPr>
              <w:t xml:space="preserve">Die Zulassung der Indikationserweiterung von </w:t>
            </w:r>
            <w:proofErr w:type="spellStart"/>
            <w:r w:rsidRPr="002849F9">
              <w:rPr>
                <w:rFonts w:ascii="Arial Narrow" w:eastAsia="Times New Roman" w:hAnsi="Arial Narrow" w:cs="Arial"/>
                <w:sz w:val="22"/>
                <w:szCs w:val="22"/>
                <w:lang w:eastAsia="de-DE"/>
              </w:rPr>
              <w:t>Nirmatrelvir</w:t>
            </w:r>
            <w:proofErr w:type="spellEnd"/>
            <w:r w:rsidRPr="002849F9">
              <w:rPr>
                <w:rFonts w:ascii="Arial Narrow" w:eastAsia="Times New Roman" w:hAnsi="Arial Narrow" w:cs="Arial"/>
                <w:sz w:val="22"/>
                <w:szCs w:val="22"/>
                <w:lang w:eastAsia="de-DE"/>
              </w:rPr>
              <w:t xml:space="preserve">/Ritonavir für pädiatrische </w:t>
            </w:r>
            <w:proofErr w:type="spellStart"/>
            <w:proofErr w:type="gramStart"/>
            <w:r w:rsidRPr="002849F9">
              <w:rPr>
                <w:rFonts w:ascii="Arial Narrow" w:eastAsia="Times New Roman" w:hAnsi="Arial Narrow" w:cs="Arial"/>
                <w:sz w:val="22"/>
                <w:szCs w:val="22"/>
                <w:lang w:eastAsia="de-DE"/>
              </w:rPr>
              <w:t>Patient:innen</w:t>
            </w:r>
            <w:proofErr w:type="spellEnd"/>
            <w:proofErr w:type="gramEnd"/>
            <w:r w:rsidRPr="002849F9">
              <w:rPr>
                <w:rFonts w:ascii="Arial Narrow" w:eastAsia="Times New Roman" w:hAnsi="Arial Narrow" w:cs="Arial"/>
                <w:sz w:val="22"/>
                <w:szCs w:val="22"/>
                <w:lang w:eastAsia="de-DE"/>
              </w:rPr>
              <w:t xml:space="preserve"> ab 6 Jahren mit</w:t>
            </w:r>
            <w:r>
              <w:rPr>
                <w:rFonts w:ascii="Arial Narrow" w:eastAsia="Times New Roman" w:hAnsi="Arial Narrow" w:cs="Arial"/>
                <w:sz w:val="22"/>
                <w:szCs w:val="22"/>
                <w:lang w:eastAsia="de-DE"/>
              </w:rPr>
              <w:t xml:space="preserve"> </w:t>
            </w:r>
            <w:r w:rsidRPr="002849F9">
              <w:rPr>
                <w:rFonts w:ascii="Arial Narrow" w:eastAsia="Times New Roman" w:hAnsi="Arial Narrow" w:cs="Arial"/>
                <w:sz w:val="22"/>
                <w:szCs w:val="22"/>
                <w:lang w:eastAsia="de-DE"/>
              </w:rPr>
              <w:t>einem Körpergewicht von mindestens 20 kg, die keine zusätzliche Sauerstoffzufuhr benötigen und ein erhöhtes</w:t>
            </w:r>
            <w:r>
              <w:rPr>
                <w:rFonts w:ascii="Arial Narrow" w:eastAsia="Times New Roman" w:hAnsi="Arial Narrow" w:cs="Arial"/>
                <w:sz w:val="22"/>
                <w:szCs w:val="22"/>
                <w:lang w:eastAsia="de-DE"/>
              </w:rPr>
              <w:t xml:space="preserve"> </w:t>
            </w:r>
            <w:r w:rsidRPr="002849F9">
              <w:rPr>
                <w:rFonts w:ascii="Arial Narrow" w:eastAsia="Times New Roman" w:hAnsi="Arial Narrow" w:cs="Arial"/>
                <w:sz w:val="22"/>
                <w:szCs w:val="22"/>
                <w:lang w:eastAsia="de-DE"/>
              </w:rPr>
              <w:t>Risiko haben, einen schweren COVID-19-Verlauf zu entwickeln, wird derzeit für Q4 2025 – Q1 2026 erwartet.</w:t>
            </w:r>
          </w:p>
        </w:tc>
      </w:tr>
    </w:tbl>
    <w:p w14:paraId="037459C1"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27D74E74" w14:textId="77777777" w:rsidTr="00AA1ABF">
        <w:trPr>
          <w:trHeight w:val="234"/>
        </w:trPr>
        <w:tc>
          <w:tcPr>
            <w:tcW w:w="9212" w:type="dxa"/>
          </w:tcPr>
          <w:p w14:paraId="21A3E6BB"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Welche bestehende Methode wird durch die neue Methode abgelöst oder ergänzt?</w:t>
            </w:r>
          </w:p>
        </w:tc>
      </w:tr>
      <w:tr w:rsidR="00016B86" w:rsidRPr="00016B86" w14:paraId="2D7FEF1C" w14:textId="77777777" w:rsidTr="00AA1ABF">
        <w:tc>
          <w:tcPr>
            <w:tcW w:w="9212" w:type="dxa"/>
          </w:tcPr>
          <w:p w14:paraId="09E98CAA" w14:textId="77777777" w:rsidR="00016B86" w:rsidRPr="00016B86" w:rsidRDefault="00016B86" w:rsidP="00016B86">
            <w:pPr>
              <w:spacing w:after="0" w:line="240" w:lineRule="auto"/>
              <w:rPr>
                <w:rFonts w:ascii="Arial Narrow" w:eastAsia="Times New Roman" w:hAnsi="Arial Narrow" w:cs="Arial"/>
                <w:iCs/>
                <w:sz w:val="22"/>
                <w:szCs w:val="22"/>
                <w:lang w:eastAsia="de-DE"/>
              </w:rPr>
            </w:pP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190E4E">
              <w:rPr>
                <w:rFonts w:ascii="Arial Narrow" w:eastAsia="Times New Roman" w:hAnsi="Arial Narrow" w:cs="Arial"/>
                <w:iCs/>
                <w:sz w:val="22"/>
                <w:szCs w:val="22"/>
                <w:lang w:eastAsia="de-DE"/>
              </w:rPr>
              <w:t xml:space="preserve"> </w:t>
            </w:r>
            <w:r w:rsidRPr="00016B86">
              <w:rPr>
                <w:rFonts w:ascii="Arial Narrow" w:eastAsia="Times New Roman" w:hAnsi="Arial Narrow" w:cs="Arial"/>
                <w:iCs/>
                <w:sz w:val="22"/>
                <w:szCs w:val="22"/>
                <w:lang w:eastAsia="de-DE"/>
              </w:rPr>
              <w:t>ist das erste zugelassene antivirale, orale Arzneimittel zur Behandlung von COVID-19 und stellt damit eine bedeutende Erweiterung der Therapieoptionen bei Erwachsenen dar, die keine zusätzliche Sauerstoffzufuhr benötigen und ein erhöhtes Risiko haben, einen schweren COVID-19-Verlauf zu entwickeln.</w:t>
            </w:r>
          </w:p>
          <w:p w14:paraId="5FC60509" w14:textId="77777777" w:rsidR="00016B86" w:rsidRPr="00016B86" w:rsidRDefault="00016B86" w:rsidP="00016B86">
            <w:pPr>
              <w:spacing w:after="0" w:line="240" w:lineRule="auto"/>
              <w:rPr>
                <w:rFonts w:ascii="Arial Narrow" w:eastAsia="Times New Roman" w:hAnsi="Arial Narrow" w:cs="Arial"/>
                <w:iCs/>
                <w:sz w:val="22"/>
                <w:szCs w:val="22"/>
                <w:lang w:eastAsia="de-DE"/>
              </w:rPr>
            </w:pPr>
            <w:r w:rsidRPr="00016B86">
              <w:rPr>
                <w:rFonts w:ascii="Arial Narrow" w:eastAsia="Times New Roman" w:hAnsi="Arial Narrow" w:cs="Arial"/>
                <w:iCs/>
                <w:sz w:val="22"/>
                <w:szCs w:val="22"/>
                <w:lang w:eastAsia="de-DE"/>
              </w:rPr>
              <w:t xml:space="preserve">Die im Rahmen der Zulassung vorgelegten Daten zur Wirksamkeit zeigen eine deutliche Überlegenheit gegenüber der Wirksamkeit von anderen Therapieoptionen für die frühe Erkrankungsphase.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190E4E">
              <w:rPr>
                <w:rFonts w:ascii="Arial Narrow" w:eastAsia="Times New Roman" w:hAnsi="Arial Narrow" w:cs="Arial"/>
                <w:iCs/>
                <w:sz w:val="22"/>
                <w:szCs w:val="22"/>
                <w:lang w:eastAsia="de-DE"/>
              </w:rPr>
              <w:t xml:space="preserve"> </w:t>
            </w:r>
            <w:r w:rsidRPr="00016B86">
              <w:rPr>
                <w:rFonts w:ascii="Arial Narrow" w:eastAsia="Times New Roman" w:hAnsi="Arial Narrow" w:cs="Arial"/>
                <w:iCs/>
                <w:sz w:val="22"/>
                <w:szCs w:val="22"/>
                <w:lang w:eastAsia="de-DE"/>
              </w:rPr>
              <w:t>gilt (neben Remdesivir) gemäß Bewertung der Fachgruppe COVRIIN beim Robert Koch-Institut als antivirale Therapieoption erster Wahl in der Frühphase einer SARS-CoV-2-Infektion.</w:t>
            </w:r>
          </w:p>
          <w:p w14:paraId="4ABC1BB6" w14:textId="77777777" w:rsidR="00016B86" w:rsidRPr="00016B86" w:rsidRDefault="00016B86" w:rsidP="00016B86">
            <w:pPr>
              <w:spacing w:after="0" w:line="240" w:lineRule="auto"/>
              <w:rPr>
                <w:rFonts w:ascii="Arial Narrow" w:eastAsia="Times New Roman" w:hAnsi="Arial Narrow" w:cs="Arial"/>
                <w:color w:val="00B050"/>
                <w:sz w:val="22"/>
                <w:szCs w:val="22"/>
                <w:lang w:eastAsia="de-DE"/>
              </w:rPr>
            </w:pPr>
            <w:r w:rsidRPr="00016B86">
              <w:rPr>
                <w:rFonts w:ascii="Arial Narrow" w:eastAsia="Times New Roman" w:hAnsi="Arial Narrow" w:cs="Arial"/>
                <w:iCs/>
                <w:sz w:val="22"/>
                <w:szCs w:val="22"/>
                <w:lang w:eastAsia="de-DE"/>
              </w:rPr>
              <w:t xml:space="preserve">Weiterhin ist vorteilhaft zu sehen, dass die antivirale Aktivität von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190E4E">
              <w:rPr>
                <w:rFonts w:ascii="Arial Narrow" w:eastAsia="Times New Roman" w:hAnsi="Arial Narrow" w:cs="Arial"/>
                <w:iCs/>
                <w:sz w:val="22"/>
                <w:szCs w:val="22"/>
                <w:lang w:eastAsia="de-DE"/>
              </w:rPr>
              <w:t xml:space="preserve"> </w:t>
            </w:r>
            <w:r w:rsidRPr="00016B86">
              <w:rPr>
                <w:rFonts w:ascii="Arial Narrow" w:eastAsia="Times New Roman" w:hAnsi="Arial Narrow" w:cs="Arial"/>
                <w:iCs/>
                <w:sz w:val="22"/>
                <w:szCs w:val="22"/>
                <w:lang w:eastAsia="de-DE"/>
              </w:rPr>
              <w:t>gegenüber den bisher in Erscheinung getretenen Virusvarianten erhalten geblieben ist, was mit der geringeren Anfälligkeit der Zielstruktur Protease 3CLpro für Mutationen zusammenhängt.</w:t>
            </w:r>
          </w:p>
        </w:tc>
      </w:tr>
    </w:tbl>
    <w:p w14:paraId="2004BE6B"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22E3EECB" w14:textId="77777777" w:rsidTr="00AA1ABF">
        <w:tc>
          <w:tcPr>
            <w:tcW w:w="9212" w:type="dxa"/>
          </w:tcPr>
          <w:p w14:paraId="7109E004"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Ist die Methode vollständig oder in Teilen neu und warum handelt es sich um eine neue Untersuchungs- und Behandlungsmethode?</w:t>
            </w:r>
          </w:p>
        </w:tc>
      </w:tr>
      <w:tr w:rsidR="00016B86" w:rsidRPr="00016B86" w14:paraId="64645CC1" w14:textId="77777777" w:rsidTr="00AA1ABF">
        <w:tc>
          <w:tcPr>
            <w:tcW w:w="9212" w:type="dxa"/>
          </w:tcPr>
          <w:p w14:paraId="1D4CA69C" w14:textId="77777777" w:rsidR="00016B86" w:rsidRPr="00016B86" w:rsidRDefault="00016B86" w:rsidP="00016B86">
            <w:pPr>
              <w:spacing w:after="0" w:line="240" w:lineRule="auto"/>
              <w:rPr>
                <w:rFonts w:ascii="Arial Narrow" w:eastAsia="Times New Roman" w:hAnsi="Arial Narrow" w:cs="Arial"/>
                <w:sz w:val="22"/>
                <w:szCs w:val="22"/>
                <w:lang w:eastAsia="de-DE"/>
              </w:rPr>
            </w:pPr>
            <w:proofErr w:type="spellStart"/>
            <w:r w:rsidRPr="00016B86">
              <w:rPr>
                <w:rFonts w:ascii="Arial Narrow" w:eastAsia="Times New Roman" w:hAnsi="Arial Narrow" w:cs="Arial"/>
                <w:sz w:val="22"/>
                <w:szCs w:val="22"/>
                <w:lang w:eastAsia="de-DE"/>
              </w:rPr>
              <w:lastRenderedPageBreak/>
              <w:t>Nirmatrelvir</w:t>
            </w:r>
            <w:proofErr w:type="spellEnd"/>
            <w:r w:rsidRPr="00016B86">
              <w:rPr>
                <w:rFonts w:ascii="Arial Narrow" w:eastAsia="Times New Roman" w:hAnsi="Arial Narrow" w:cs="Arial"/>
                <w:sz w:val="22"/>
                <w:szCs w:val="22"/>
                <w:lang w:eastAsia="de-DE"/>
              </w:rPr>
              <w:t xml:space="preserve">/ Ritonavir ist ein oraler </w:t>
            </w:r>
            <w:proofErr w:type="spellStart"/>
            <w:r w:rsidRPr="00016B86">
              <w:rPr>
                <w:rFonts w:ascii="Arial Narrow" w:eastAsia="Times New Roman" w:hAnsi="Arial Narrow" w:cs="Arial"/>
                <w:sz w:val="22"/>
                <w:szCs w:val="22"/>
                <w:lang w:eastAsia="de-DE"/>
              </w:rPr>
              <w:t>Proteasehemmer</w:t>
            </w:r>
            <w:proofErr w:type="spellEnd"/>
            <w:r w:rsidRPr="00016B86">
              <w:rPr>
                <w:rFonts w:ascii="Arial Narrow" w:eastAsia="Times New Roman" w:hAnsi="Arial Narrow" w:cs="Arial"/>
                <w:sz w:val="22"/>
                <w:szCs w:val="22"/>
                <w:lang w:eastAsia="de-DE"/>
              </w:rPr>
              <w:t xml:space="preserve"> zur Behandlung von COVID-19, der frühzeitig nach Symptombeginn eingesetzt werden soll, um das Risiko schwerer Krankheitsverläufe zu reduzieren. Es kombiniert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 xml:space="preserve">, </w:t>
            </w:r>
            <w:proofErr w:type="gramStart"/>
            <w:r w:rsidRPr="00016B86">
              <w:rPr>
                <w:rFonts w:ascii="Arial Narrow" w:eastAsia="Times New Roman" w:hAnsi="Arial Narrow" w:cs="Arial"/>
                <w:sz w:val="22"/>
                <w:szCs w:val="22"/>
                <w:lang w:eastAsia="de-DE"/>
              </w:rPr>
              <w:t>das</w:t>
            </w:r>
            <w:proofErr w:type="gramEnd"/>
            <w:r w:rsidRPr="00016B86">
              <w:rPr>
                <w:rFonts w:ascii="Arial Narrow" w:eastAsia="Times New Roman" w:hAnsi="Arial Narrow" w:cs="Arial"/>
                <w:sz w:val="22"/>
                <w:szCs w:val="22"/>
                <w:lang w:eastAsia="de-DE"/>
              </w:rPr>
              <w:t xml:space="preserve"> die virale Replikation hemmt, mit Ritonavir, das den Abbau von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 xml:space="preserve"> verlangsamt und so dessen Wirksamkeit steigert.</w:t>
            </w:r>
          </w:p>
          <w:p w14:paraId="20A05F61" w14:textId="77777777" w:rsidR="00016B86" w:rsidRPr="00016B86" w:rsidRDefault="00016B86" w:rsidP="00016B86">
            <w:pPr>
              <w:spacing w:after="0" w:line="240" w:lineRule="auto"/>
              <w:rPr>
                <w:rFonts w:ascii="Arial Narrow" w:eastAsia="Times New Roman" w:hAnsi="Arial Narrow" w:cs="Arial"/>
                <w:sz w:val="22"/>
                <w:szCs w:val="22"/>
                <w:lang w:eastAsia="de-DE"/>
              </w:rPr>
            </w:pPr>
          </w:p>
          <w:p w14:paraId="4377C243" w14:textId="77777777" w:rsidR="00016B86" w:rsidRPr="00016B86" w:rsidRDefault="00016B86" w:rsidP="00016B86">
            <w:pPr>
              <w:spacing w:after="0" w:line="240" w:lineRule="auto"/>
              <w:rPr>
                <w:rFonts w:ascii="Arial Narrow" w:eastAsia="Times New Roman" w:hAnsi="Arial Narrow" w:cs="Arial"/>
                <w:sz w:val="22"/>
                <w:szCs w:val="22"/>
                <w:lang w:eastAsia="de-DE"/>
              </w:rPr>
            </w:pP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 Ritonavir wurde am 25.02.2022 in Deutschland in Verkehr gebracht, so dass noch keine Kostendaten im DRG-</w:t>
            </w:r>
            <w:proofErr w:type="spellStart"/>
            <w:r w:rsidRPr="00016B86">
              <w:rPr>
                <w:rFonts w:ascii="Arial Narrow" w:eastAsia="Times New Roman" w:hAnsi="Arial Narrow" w:cs="Arial"/>
                <w:sz w:val="22"/>
                <w:szCs w:val="22"/>
                <w:lang w:eastAsia="de-DE"/>
              </w:rPr>
              <w:t>Fallpauschalensystem</w:t>
            </w:r>
            <w:proofErr w:type="spellEnd"/>
            <w:r w:rsidRPr="00016B86">
              <w:rPr>
                <w:rFonts w:ascii="Arial Narrow" w:eastAsia="Times New Roman" w:hAnsi="Arial Narrow" w:cs="Arial"/>
                <w:sz w:val="22"/>
                <w:szCs w:val="22"/>
                <w:lang w:eastAsia="de-DE"/>
              </w:rPr>
              <w:t xml:space="preserve"> vorliegen können. Dadurch kommt es zu einer Unterdeckung der Arzneimittelkosten der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 xml:space="preserve">/ Ritonavir -Therapie im stationären Sektor. In den Informationen nach § 6 Abs. 2 KHEntgG für 2025 hat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 xml:space="preserve">/ Ritonavir den Status 1 erhalten. Somit wurde bereits für das Jahr 2025 seitens des InEK entschieden, dass der Einsatz von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 Ritonavir für das Krankenhaus unzureichend finanziert wäre.</w:t>
            </w:r>
          </w:p>
        </w:tc>
      </w:tr>
    </w:tbl>
    <w:p w14:paraId="79473ED6"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3EF70ECC" w14:textId="77777777" w:rsidTr="00AA1ABF">
        <w:tc>
          <w:tcPr>
            <w:tcW w:w="9212" w:type="dxa"/>
          </w:tcPr>
          <w:p w14:paraId="3D429912"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Welche Auswirkungen hat die Methode auf die Verweildauer im Krankenhaus?</w:t>
            </w:r>
          </w:p>
        </w:tc>
      </w:tr>
      <w:tr w:rsidR="00016B86" w:rsidRPr="00016B86" w14:paraId="31AACA27" w14:textId="77777777" w:rsidTr="00AA1ABF">
        <w:trPr>
          <w:trHeight w:val="264"/>
        </w:trPr>
        <w:tc>
          <w:tcPr>
            <w:tcW w:w="9212" w:type="dxa"/>
          </w:tcPr>
          <w:p w14:paraId="26FF77FC" w14:textId="77777777" w:rsidR="00016B86" w:rsidRPr="00016B86" w:rsidRDefault="00016B86" w:rsidP="00016B86">
            <w:pPr>
              <w:spacing w:after="0" w:line="240" w:lineRule="auto"/>
              <w:rPr>
                <w:rFonts w:ascii="Arial Narrow" w:eastAsia="Times New Roman" w:hAnsi="Arial Narrow" w:cs="Arial"/>
                <w:iCs/>
                <w:lang w:eastAsia="de-DE"/>
              </w:rPr>
            </w:pPr>
            <w:r w:rsidRPr="00016B86">
              <w:rPr>
                <w:rFonts w:ascii="Arial Narrow" w:eastAsia="Times New Roman" w:hAnsi="Arial Narrow" w:cs="Arial"/>
                <w:color w:val="000000"/>
                <w:sz w:val="22"/>
                <w:szCs w:val="22"/>
                <w:lang w:eastAsia="de-DE"/>
              </w:rPr>
              <w:t>Zur Veränderung der Verweildauer im Krankenhaus können derzeit aufgrund fehlender Erfahrungen keine Aussagen gemacht werden.</w:t>
            </w:r>
          </w:p>
        </w:tc>
      </w:tr>
    </w:tbl>
    <w:p w14:paraId="0019F836"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52864702" w14:textId="77777777" w:rsidTr="00AA1ABF">
        <w:tc>
          <w:tcPr>
            <w:tcW w:w="9212" w:type="dxa"/>
          </w:tcPr>
          <w:p w14:paraId="7F53F260"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Wann wurde diese Methode in Deutschland eingeführt?</w:t>
            </w:r>
          </w:p>
        </w:tc>
      </w:tr>
      <w:tr w:rsidR="00016B86" w:rsidRPr="00016B86" w14:paraId="4BE43CA3" w14:textId="77777777" w:rsidTr="00AA1ABF">
        <w:tc>
          <w:tcPr>
            <w:tcW w:w="9212" w:type="dxa"/>
          </w:tcPr>
          <w:p w14:paraId="045F0234" w14:textId="77777777" w:rsidR="00016B86" w:rsidRPr="00016B86" w:rsidRDefault="00016B86" w:rsidP="00016B86">
            <w:pPr>
              <w:spacing w:after="0" w:line="240" w:lineRule="auto"/>
              <w:rPr>
                <w:rFonts w:ascii="Arial Narrow" w:eastAsia="Times New Roman" w:hAnsi="Arial Narrow" w:cs="Arial"/>
                <w:iCs/>
                <w:color w:val="00B050"/>
                <w:sz w:val="22"/>
                <w:lang w:eastAsia="de-DE"/>
              </w:rPr>
            </w:pPr>
            <w:r w:rsidRPr="00016B86">
              <w:rPr>
                <w:rFonts w:ascii="Arial Narrow" w:eastAsia="Times New Roman" w:hAnsi="Arial Narrow" w:cs="Arial"/>
                <w:iCs/>
                <w:sz w:val="22"/>
                <w:lang w:eastAsia="de-DE"/>
              </w:rPr>
              <w:t>25.02.2022</w:t>
            </w:r>
          </w:p>
        </w:tc>
      </w:tr>
    </w:tbl>
    <w:p w14:paraId="0DF71874"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3723A0FF" w14:textId="77777777" w:rsidTr="00AA1ABF">
        <w:tc>
          <w:tcPr>
            <w:tcW w:w="9212" w:type="dxa"/>
          </w:tcPr>
          <w:p w14:paraId="5B71C872"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Bei Medikamenten: Wann wurde dieses Medikament zugelassen?</w:t>
            </w:r>
          </w:p>
        </w:tc>
      </w:tr>
      <w:tr w:rsidR="00016B86" w:rsidRPr="00016B86" w14:paraId="05B211B3" w14:textId="77777777" w:rsidTr="00AA1ABF">
        <w:tc>
          <w:tcPr>
            <w:tcW w:w="9212" w:type="dxa"/>
          </w:tcPr>
          <w:p w14:paraId="6CE41978" w14:textId="77777777" w:rsidR="00016B86" w:rsidRPr="00016B86" w:rsidRDefault="00016B86" w:rsidP="00016B86">
            <w:pPr>
              <w:spacing w:after="0" w:line="240" w:lineRule="auto"/>
              <w:rPr>
                <w:rFonts w:ascii="Arial Narrow" w:eastAsia="Times New Roman" w:hAnsi="Arial Narrow" w:cs="Arial"/>
                <w:color w:val="00B050"/>
                <w:sz w:val="22"/>
                <w:lang w:eastAsia="de-DE"/>
              </w:rPr>
            </w:pPr>
            <w:r w:rsidRPr="00016B86">
              <w:rPr>
                <w:rFonts w:ascii="Arial Narrow" w:eastAsia="Times New Roman" w:hAnsi="Arial Narrow" w:cs="Arial"/>
                <w:iCs/>
                <w:sz w:val="22"/>
                <w:lang w:eastAsia="de-DE"/>
              </w:rPr>
              <w:t xml:space="preserve"> 28.01.2022</w:t>
            </w:r>
          </w:p>
        </w:tc>
      </w:tr>
    </w:tbl>
    <w:p w14:paraId="1B5DB24F"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0DC51BE9" w14:textId="77777777" w:rsidTr="00AA1ABF">
        <w:tc>
          <w:tcPr>
            <w:tcW w:w="9212" w:type="dxa"/>
          </w:tcPr>
          <w:p w14:paraId="748E2F9A" w14:textId="77777777" w:rsidR="00016B86" w:rsidRPr="00016B86" w:rsidRDefault="00016B86" w:rsidP="00016B86">
            <w:pPr>
              <w:spacing w:after="0" w:line="240" w:lineRule="auto"/>
              <w:rPr>
                <w:rFonts w:ascii="Arial Narrow" w:eastAsia="Times New Roman" w:hAnsi="Arial Narrow" w:cs="Arial"/>
                <w:b/>
                <w:lang w:eastAsia="de-DE"/>
              </w:rPr>
            </w:pPr>
            <w:r w:rsidRPr="00016B86">
              <w:rPr>
                <w:rFonts w:ascii="Arial Narrow" w:eastAsia="Times New Roman" w:hAnsi="Arial Narrow" w:cs="Arial"/>
                <w:b/>
                <w:sz w:val="22"/>
                <w:lang w:eastAsia="de-DE"/>
              </w:rPr>
              <w:t>Wann wurde bzw. wird die Methode in Ihrem Krankenhaus eingeführt?</w:t>
            </w:r>
          </w:p>
        </w:tc>
      </w:tr>
      <w:tr w:rsidR="00016B86" w:rsidRPr="00016B86" w14:paraId="09A22BFC" w14:textId="77777777" w:rsidTr="00AA1ABF">
        <w:tc>
          <w:tcPr>
            <w:tcW w:w="9212" w:type="dxa"/>
          </w:tcPr>
          <w:p w14:paraId="5DCC81F3" w14:textId="77777777" w:rsidR="00016B86" w:rsidRPr="00016B86" w:rsidRDefault="00016B86" w:rsidP="00016B86">
            <w:pPr>
              <w:spacing w:after="0" w:line="240" w:lineRule="auto"/>
              <w:rPr>
                <w:rFonts w:ascii="Arial Narrow" w:eastAsia="Times New Roman" w:hAnsi="Arial Narrow" w:cs="Arial"/>
                <w:iCs/>
                <w:sz w:val="22"/>
                <w:highlight w:val="yellow"/>
                <w:lang w:eastAsia="de-DE"/>
              </w:rPr>
            </w:pPr>
            <w:r w:rsidRPr="00016B86">
              <w:rPr>
                <w:rFonts w:ascii="Arial Narrow" w:eastAsia="Times New Roman" w:hAnsi="Arial Narrow" w:cs="Arial"/>
                <w:sz w:val="22"/>
                <w:highlight w:val="yellow"/>
                <w:lang w:eastAsia="de-DE"/>
              </w:rPr>
              <w:t>[bitte ergänzen]</w:t>
            </w:r>
          </w:p>
        </w:tc>
      </w:tr>
    </w:tbl>
    <w:p w14:paraId="2D7E1AD2"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422ABE96" w14:textId="77777777" w:rsidTr="00AA1ABF">
        <w:tc>
          <w:tcPr>
            <w:tcW w:w="9212" w:type="dxa"/>
          </w:tcPr>
          <w:p w14:paraId="59D7AD93" w14:textId="77777777" w:rsidR="00016B86" w:rsidRPr="00016B86" w:rsidRDefault="00016B86" w:rsidP="00016B86">
            <w:pPr>
              <w:spacing w:after="0" w:line="240" w:lineRule="auto"/>
              <w:rPr>
                <w:rFonts w:ascii="Arial Narrow" w:eastAsia="Times New Roman" w:hAnsi="Arial Narrow" w:cs="Arial"/>
                <w:b/>
                <w:sz w:val="22"/>
                <w:szCs w:val="22"/>
                <w:lang w:eastAsia="de-DE"/>
              </w:rPr>
            </w:pPr>
            <w:r w:rsidRPr="00016B86">
              <w:rPr>
                <w:rFonts w:ascii="Arial Narrow" w:eastAsia="Times New Roman" w:hAnsi="Arial Narrow" w:cs="Arial"/>
                <w:b/>
                <w:sz w:val="22"/>
                <w:lang w:eastAsia="de-DE"/>
              </w:rPr>
              <w:t>In wie vielen Kliniken wird diese Methode derzeit eingesetzt (Schätzung)?</w:t>
            </w:r>
          </w:p>
        </w:tc>
      </w:tr>
      <w:tr w:rsidR="00016B86" w:rsidRPr="00016B86" w14:paraId="7B168B35" w14:textId="77777777" w:rsidTr="00AA1ABF">
        <w:tc>
          <w:tcPr>
            <w:tcW w:w="9212" w:type="dxa"/>
          </w:tcPr>
          <w:p w14:paraId="7CDE66B1" w14:textId="77777777" w:rsidR="00016B86" w:rsidRPr="00016B86" w:rsidRDefault="00016B86" w:rsidP="00016B86">
            <w:pPr>
              <w:spacing w:after="0" w:line="240" w:lineRule="auto"/>
              <w:rPr>
                <w:rFonts w:ascii="Arial Narrow" w:eastAsia="Times New Roman" w:hAnsi="Arial Narrow" w:cs="Arial"/>
                <w:iCs/>
                <w:sz w:val="22"/>
                <w:szCs w:val="22"/>
                <w:lang w:eastAsia="de-DE"/>
              </w:rPr>
            </w:pP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540884">
              <w:rPr>
                <w:rFonts w:ascii="Arial Narrow" w:eastAsia="Times New Roman" w:hAnsi="Arial Narrow" w:cs="Arial"/>
                <w:iCs/>
                <w:sz w:val="22"/>
                <w:szCs w:val="22"/>
                <w:lang w:eastAsia="de-DE"/>
              </w:rPr>
              <w:t xml:space="preserve"> </w:t>
            </w:r>
            <w:r w:rsidRPr="00016B86">
              <w:rPr>
                <w:rFonts w:ascii="Arial Narrow" w:eastAsia="Times New Roman" w:hAnsi="Arial Narrow" w:cs="Arial"/>
                <w:sz w:val="22"/>
                <w:szCs w:val="22"/>
                <w:lang w:eastAsia="de-DE"/>
              </w:rPr>
              <w:t>wird in ca. 794 Kliniken in Deutschland eingesetzt (Schätzung aufgrund der NUB-Anfragen des Vorjahres).</w:t>
            </w:r>
          </w:p>
        </w:tc>
      </w:tr>
    </w:tbl>
    <w:p w14:paraId="2AE77AA6"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29485ABD" w14:textId="77777777" w:rsidTr="00AA1ABF">
        <w:tc>
          <w:tcPr>
            <w:tcW w:w="9212" w:type="dxa"/>
          </w:tcPr>
          <w:p w14:paraId="0D58F8AA"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b/>
                <w:sz w:val="22"/>
                <w:lang w:eastAsia="de-DE"/>
              </w:rPr>
              <w:t xml:space="preserve">Wie viele Patienten wurden in Ihrem Krankenhaus </w:t>
            </w:r>
            <w:proofErr w:type="gramStart"/>
            <w:r w:rsidRPr="00016B86">
              <w:rPr>
                <w:rFonts w:ascii="Arial Narrow" w:eastAsia="Times New Roman" w:hAnsi="Arial Narrow" w:cs="Arial"/>
                <w:b/>
                <w:sz w:val="22"/>
                <w:lang w:eastAsia="de-DE"/>
              </w:rPr>
              <w:t>in 2024</w:t>
            </w:r>
            <w:proofErr w:type="gramEnd"/>
            <w:r w:rsidRPr="00016B86">
              <w:rPr>
                <w:rFonts w:ascii="Arial Narrow" w:eastAsia="Times New Roman" w:hAnsi="Arial Narrow" w:cs="Arial"/>
                <w:b/>
                <w:sz w:val="22"/>
                <w:lang w:eastAsia="de-DE"/>
              </w:rPr>
              <w:t xml:space="preserve"> oder </w:t>
            </w:r>
            <w:proofErr w:type="gramStart"/>
            <w:r w:rsidRPr="00016B86">
              <w:rPr>
                <w:rFonts w:ascii="Arial Narrow" w:eastAsia="Times New Roman" w:hAnsi="Arial Narrow" w:cs="Arial"/>
                <w:b/>
                <w:sz w:val="22"/>
                <w:lang w:eastAsia="de-DE"/>
              </w:rPr>
              <w:t>in 2025</w:t>
            </w:r>
            <w:proofErr w:type="gramEnd"/>
            <w:r w:rsidRPr="00016B86">
              <w:rPr>
                <w:rFonts w:ascii="Arial Narrow" w:eastAsia="Times New Roman" w:hAnsi="Arial Narrow" w:cs="Arial"/>
                <w:b/>
                <w:sz w:val="22"/>
                <w:lang w:eastAsia="de-DE"/>
              </w:rPr>
              <w:t xml:space="preserve"> mit dieser Methode behandelt?</w:t>
            </w:r>
          </w:p>
        </w:tc>
      </w:tr>
      <w:tr w:rsidR="00016B86" w:rsidRPr="00016B86" w14:paraId="0F64EB9B" w14:textId="77777777" w:rsidTr="00AA1ABF">
        <w:tc>
          <w:tcPr>
            <w:tcW w:w="9212" w:type="dxa"/>
          </w:tcPr>
          <w:p w14:paraId="57CDDB5A" w14:textId="77777777" w:rsidR="00016B86" w:rsidRPr="00016B86" w:rsidRDefault="00016B86" w:rsidP="00016B86">
            <w:pPr>
              <w:spacing w:after="0" w:line="240" w:lineRule="auto"/>
              <w:rPr>
                <w:rFonts w:ascii="Arial Narrow" w:eastAsia="Times New Roman" w:hAnsi="Arial Narrow" w:cs="Arial"/>
                <w:sz w:val="22"/>
                <w:lang w:eastAsia="de-DE"/>
              </w:rPr>
            </w:pPr>
            <w:r w:rsidRPr="00016B86">
              <w:rPr>
                <w:rFonts w:ascii="Arial Narrow" w:eastAsia="Times New Roman" w:hAnsi="Arial Narrow" w:cs="Arial"/>
                <w:sz w:val="22"/>
                <w:lang w:eastAsia="de-DE"/>
              </w:rPr>
              <w:t>In 2024</w:t>
            </w:r>
          </w:p>
        </w:tc>
      </w:tr>
      <w:tr w:rsidR="00016B86" w:rsidRPr="00016B86" w14:paraId="3C016B96" w14:textId="77777777" w:rsidTr="00AA1ABF">
        <w:tc>
          <w:tcPr>
            <w:tcW w:w="9212" w:type="dxa"/>
          </w:tcPr>
          <w:p w14:paraId="2DAF5FF8"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sz w:val="22"/>
                <w:highlight w:val="yellow"/>
                <w:lang w:eastAsia="de-DE"/>
              </w:rPr>
              <w:t>[bitte ergänzen]</w:t>
            </w:r>
          </w:p>
        </w:tc>
      </w:tr>
      <w:tr w:rsidR="00016B86" w:rsidRPr="00016B86" w14:paraId="3091F76F" w14:textId="77777777" w:rsidTr="00AA1ABF">
        <w:tc>
          <w:tcPr>
            <w:tcW w:w="9212" w:type="dxa"/>
          </w:tcPr>
          <w:p w14:paraId="1D891FB4" w14:textId="77777777" w:rsidR="00016B86" w:rsidRPr="00016B86" w:rsidRDefault="00016B86" w:rsidP="00016B86">
            <w:pPr>
              <w:spacing w:after="0" w:line="240" w:lineRule="auto"/>
              <w:rPr>
                <w:rFonts w:ascii="Arial Narrow" w:eastAsia="Times New Roman" w:hAnsi="Arial Narrow" w:cs="Arial"/>
                <w:sz w:val="22"/>
                <w:lang w:eastAsia="de-DE"/>
              </w:rPr>
            </w:pPr>
            <w:r w:rsidRPr="00016B86">
              <w:rPr>
                <w:rFonts w:ascii="Arial Narrow" w:eastAsia="Times New Roman" w:hAnsi="Arial Narrow" w:cs="Arial"/>
                <w:sz w:val="22"/>
                <w:lang w:eastAsia="de-DE"/>
              </w:rPr>
              <w:t>In 2025</w:t>
            </w:r>
          </w:p>
        </w:tc>
      </w:tr>
      <w:tr w:rsidR="00016B86" w:rsidRPr="00016B86" w14:paraId="04EA8F24" w14:textId="77777777" w:rsidTr="00AA1ABF">
        <w:tc>
          <w:tcPr>
            <w:tcW w:w="9212" w:type="dxa"/>
          </w:tcPr>
          <w:p w14:paraId="6ACE3C42"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sz w:val="22"/>
                <w:highlight w:val="yellow"/>
                <w:lang w:eastAsia="de-DE"/>
              </w:rPr>
              <w:t>[bitte ergänzen]</w:t>
            </w:r>
          </w:p>
        </w:tc>
      </w:tr>
    </w:tbl>
    <w:p w14:paraId="3581FF91"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546746DC" w14:textId="77777777" w:rsidTr="00AA1ABF">
        <w:tc>
          <w:tcPr>
            <w:tcW w:w="9212" w:type="dxa"/>
          </w:tcPr>
          <w:p w14:paraId="57362CF3" w14:textId="77777777" w:rsidR="00016B86" w:rsidRPr="00016B86" w:rsidRDefault="00016B86" w:rsidP="00016B86">
            <w:pPr>
              <w:spacing w:after="0" w:line="240" w:lineRule="auto"/>
              <w:rPr>
                <w:rFonts w:ascii="Arial Narrow" w:eastAsia="Times New Roman" w:hAnsi="Arial Narrow" w:cs="Arial"/>
                <w:lang w:eastAsia="de-DE"/>
              </w:rPr>
            </w:pPr>
            <w:proofErr w:type="spellStart"/>
            <w:r w:rsidRPr="00016B86">
              <w:rPr>
                <w:rFonts w:ascii="Arial Narrow" w:eastAsia="Times New Roman" w:hAnsi="Arial Narrow" w:cs="Arial"/>
                <w:b/>
                <w:sz w:val="22"/>
                <w:lang w:eastAsia="de-DE"/>
              </w:rPr>
              <w:t>Wieviele</w:t>
            </w:r>
            <w:proofErr w:type="spellEnd"/>
            <w:r w:rsidRPr="00016B86">
              <w:rPr>
                <w:rFonts w:ascii="Arial Narrow" w:eastAsia="Times New Roman" w:hAnsi="Arial Narrow" w:cs="Arial"/>
                <w:b/>
                <w:sz w:val="22"/>
                <w:lang w:eastAsia="de-DE"/>
              </w:rPr>
              <w:t xml:space="preserve"> Patienten planen Sie im Jahr 2026 mit dieser Methode zu behandeln?</w:t>
            </w:r>
          </w:p>
        </w:tc>
      </w:tr>
      <w:tr w:rsidR="00016B86" w:rsidRPr="00016B86" w14:paraId="065F4498" w14:textId="77777777" w:rsidTr="00AA1ABF">
        <w:tc>
          <w:tcPr>
            <w:tcW w:w="9212" w:type="dxa"/>
          </w:tcPr>
          <w:p w14:paraId="191644EF"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sz w:val="22"/>
                <w:highlight w:val="yellow"/>
                <w:lang w:eastAsia="de-DE"/>
              </w:rPr>
              <w:t>[bitte ergänzen]</w:t>
            </w:r>
          </w:p>
        </w:tc>
      </w:tr>
    </w:tbl>
    <w:p w14:paraId="0FD71E70" w14:textId="77777777" w:rsidR="00016B86" w:rsidRPr="00016B86" w:rsidRDefault="00016B86" w:rsidP="00016B86">
      <w:pPr>
        <w:spacing w:after="0" w:line="240" w:lineRule="auto"/>
        <w:rPr>
          <w:rFonts w:ascii="Arial Narrow" w:eastAsia="Times New Roman" w:hAnsi="Arial Narrow" w:cs="Arial"/>
          <w:sz w:val="22"/>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7A5FDE5B" w14:textId="77777777" w:rsidTr="00AA1ABF">
        <w:tc>
          <w:tcPr>
            <w:tcW w:w="9212" w:type="dxa"/>
          </w:tcPr>
          <w:p w14:paraId="4AB77066"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b/>
                <w:sz w:val="22"/>
                <w:lang w:eastAsia="de-DE"/>
              </w:rPr>
              <w:t>Entstehen durch die neue Methode Mehrkosten gegenüber dem bisher üblichen Verfahren? Wenn ja, wodurch? In welcher Höhe (möglichst aufgetrennt nach Personal- und Sachkosten)?</w:t>
            </w:r>
          </w:p>
        </w:tc>
      </w:tr>
      <w:tr w:rsidR="00016B86" w:rsidRPr="00016B86" w14:paraId="5576B5AA" w14:textId="77777777" w:rsidTr="00AA1ABF">
        <w:tc>
          <w:tcPr>
            <w:tcW w:w="9212" w:type="dxa"/>
          </w:tcPr>
          <w:p w14:paraId="4AE23913" w14:textId="77777777" w:rsidR="00016B86" w:rsidRPr="00016B86" w:rsidRDefault="00016B86" w:rsidP="00016B86">
            <w:pPr>
              <w:spacing w:after="0" w:line="240" w:lineRule="auto"/>
              <w:rPr>
                <w:rFonts w:ascii="Arial Narrow" w:eastAsia="Times New Roman" w:hAnsi="Arial Narrow" w:cs="Arial"/>
                <w:sz w:val="22"/>
                <w:u w:val="single"/>
                <w:lang w:eastAsia="de-DE"/>
              </w:rPr>
            </w:pPr>
            <w:r w:rsidRPr="00016B86">
              <w:rPr>
                <w:rFonts w:ascii="Arial Narrow" w:eastAsia="Times New Roman" w:hAnsi="Arial Narrow" w:cs="Arial"/>
                <w:sz w:val="22"/>
                <w:u w:val="single"/>
                <w:lang w:eastAsia="de-DE"/>
              </w:rPr>
              <w:t>Sachkosten:</w:t>
            </w:r>
          </w:p>
          <w:p w14:paraId="63B47D05" w14:textId="77777777" w:rsidR="00016B86" w:rsidRPr="00016B86" w:rsidRDefault="00016B86" w:rsidP="00016B86">
            <w:pPr>
              <w:spacing w:after="0" w:line="240" w:lineRule="auto"/>
              <w:rPr>
                <w:rFonts w:ascii="Arial Narrow" w:eastAsia="Times New Roman" w:hAnsi="Arial Narrow" w:cs="Arial"/>
                <w:sz w:val="22"/>
                <w:lang w:eastAsia="de-DE"/>
              </w:rPr>
            </w:pPr>
            <w:r w:rsidRPr="00016B86">
              <w:rPr>
                <w:rFonts w:ascii="Arial Narrow" w:eastAsia="Times New Roman" w:hAnsi="Arial Narrow" w:cs="Arial"/>
                <w:sz w:val="22"/>
                <w:szCs w:val="22"/>
                <w:lang w:eastAsia="de-DE"/>
              </w:rPr>
              <w:t>Seit Februar</w:t>
            </w:r>
            <w:r w:rsidRPr="00016B86">
              <w:rPr>
                <w:rFonts w:ascii="Arial Narrow" w:eastAsia="Times New Roman" w:hAnsi="Arial Narrow" w:cs="Arial"/>
                <w:sz w:val="22"/>
                <w:lang w:eastAsia="de-DE"/>
              </w:rPr>
              <w:t xml:space="preserve"> 2024 ist die zentrale Bereitstellung von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Pr>
                <w:rFonts w:ascii="Arial Narrow" w:eastAsia="Times New Roman" w:hAnsi="Arial Narrow" w:cs="Arial"/>
                <w:sz w:val="22"/>
                <w:lang w:eastAsia="de-DE"/>
              </w:rPr>
              <w:t xml:space="preserve"> durch den Bund eingestellt und damit der Übergang des Präparats in die Regelversorgung erfolgt. </w:t>
            </w:r>
          </w:p>
          <w:p w14:paraId="1E2D10F8" w14:textId="77777777" w:rsidR="00016B86" w:rsidRPr="00016B86" w:rsidRDefault="00016B86" w:rsidP="00016B86">
            <w:pPr>
              <w:spacing w:after="0" w:line="240" w:lineRule="auto"/>
              <w:rPr>
                <w:rFonts w:ascii="Arial Narrow" w:eastAsia="Times New Roman" w:hAnsi="Arial Narrow" w:cs="Arial"/>
                <w:sz w:val="22"/>
                <w:lang w:eastAsia="de-DE"/>
              </w:rPr>
            </w:pPr>
          </w:p>
          <w:p w14:paraId="41F0C001" w14:textId="77777777" w:rsidR="00016B86" w:rsidRPr="00016B86" w:rsidRDefault="00016B86" w:rsidP="00016B86">
            <w:pPr>
              <w:spacing w:after="0" w:line="240" w:lineRule="auto"/>
              <w:rPr>
                <w:rFonts w:ascii="Arial Narrow" w:eastAsia="Times New Roman" w:hAnsi="Arial Narrow" w:cs="Arial"/>
                <w:sz w:val="22"/>
                <w:lang w:eastAsia="de-DE"/>
              </w:rPr>
            </w:pPr>
            <w:r w:rsidRPr="00016B86">
              <w:rPr>
                <w:rFonts w:ascii="Arial Narrow" w:eastAsia="Times New Roman" w:hAnsi="Arial Narrow" w:cs="Arial"/>
                <w:sz w:val="22"/>
                <w:lang w:eastAsia="de-DE"/>
              </w:rPr>
              <w:t xml:space="preserve">Die Kosten für eine Packung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3021DD">
              <w:rPr>
                <w:rFonts w:ascii="Arial Narrow" w:eastAsia="Times New Roman" w:hAnsi="Arial Narrow" w:cs="Arial"/>
                <w:sz w:val="22"/>
                <w:lang w:eastAsia="de-DE"/>
              </w:rPr>
              <w:t xml:space="preserve"> </w:t>
            </w:r>
            <w:r w:rsidRPr="00016B86">
              <w:rPr>
                <w:rFonts w:ascii="Arial Narrow" w:eastAsia="Times New Roman" w:hAnsi="Arial Narrow" w:cs="Arial"/>
                <w:sz w:val="22"/>
                <w:lang w:eastAsia="de-DE"/>
              </w:rPr>
              <w:t xml:space="preserve">(entspricht einem Behandlungszyklus von fünf Tagen) liegen bei 1.149,19 € Apothekenverkaufspreis (AVP) inkl. 19 % </w:t>
            </w:r>
            <w:proofErr w:type="spellStart"/>
            <w:r w:rsidRPr="00016B86">
              <w:rPr>
                <w:rFonts w:ascii="Arial Narrow" w:eastAsia="Times New Roman" w:hAnsi="Arial Narrow" w:cs="Arial"/>
                <w:sz w:val="22"/>
                <w:lang w:eastAsia="de-DE"/>
              </w:rPr>
              <w:t>MwSt</w:t>
            </w:r>
            <w:proofErr w:type="spellEnd"/>
            <w:r w:rsidRPr="00016B86">
              <w:rPr>
                <w:rFonts w:ascii="Arial Narrow" w:eastAsia="Times New Roman" w:hAnsi="Arial Narrow" w:cs="Arial"/>
                <w:sz w:val="22"/>
                <w:lang w:eastAsia="de-DE"/>
              </w:rPr>
              <w:t xml:space="preserve"> (laut Lauer-Taxe, Stand 03.09.2025). </w:t>
            </w:r>
          </w:p>
          <w:p w14:paraId="4C02ABE5" w14:textId="77777777" w:rsidR="00016B86" w:rsidRPr="00016B86" w:rsidRDefault="00016B86" w:rsidP="00016B86">
            <w:pPr>
              <w:spacing w:after="0" w:line="240" w:lineRule="auto"/>
              <w:rPr>
                <w:rFonts w:ascii="Arial Narrow" w:eastAsia="Times New Roman" w:hAnsi="Arial Narrow" w:cs="Arial"/>
                <w:sz w:val="22"/>
                <w:lang w:eastAsia="de-DE"/>
              </w:rPr>
            </w:pPr>
          </w:p>
          <w:p w14:paraId="1D895F9D" w14:textId="77777777" w:rsidR="00016B86" w:rsidRPr="00016B86" w:rsidRDefault="00016B86" w:rsidP="00016B86">
            <w:pPr>
              <w:spacing w:after="0" w:line="240" w:lineRule="auto"/>
              <w:rPr>
                <w:rFonts w:ascii="Arial Narrow" w:eastAsia="Times New Roman" w:hAnsi="Arial Narrow" w:cs="Arial"/>
                <w:sz w:val="22"/>
                <w:u w:val="single"/>
                <w:lang w:eastAsia="de-DE"/>
              </w:rPr>
            </w:pPr>
            <w:r w:rsidRPr="00016B86">
              <w:rPr>
                <w:rFonts w:ascii="Arial Narrow" w:eastAsia="Times New Roman" w:hAnsi="Arial Narrow" w:cs="Arial"/>
                <w:sz w:val="22"/>
                <w:u w:val="single"/>
                <w:lang w:eastAsia="de-DE"/>
              </w:rPr>
              <w:t>Personalkosten:</w:t>
            </w:r>
          </w:p>
          <w:p w14:paraId="3A25C155"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sz w:val="22"/>
                <w:lang w:eastAsia="de-DE"/>
              </w:rPr>
              <w:lastRenderedPageBreak/>
              <w:t xml:space="preserve">Da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3021DD">
              <w:rPr>
                <w:rFonts w:ascii="Arial Narrow" w:eastAsia="Times New Roman" w:hAnsi="Arial Narrow" w:cs="Arial"/>
                <w:sz w:val="22"/>
                <w:lang w:eastAsia="de-DE"/>
              </w:rPr>
              <w:t xml:space="preserve"> </w:t>
            </w:r>
            <w:r w:rsidRPr="00016B86">
              <w:rPr>
                <w:rFonts w:ascii="Arial Narrow" w:eastAsia="Times New Roman" w:hAnsi="Arial Narrow" w:cs="Arial"/>
                <w:sz w:val="22"/>
                <w:lang w:eastAsia="de-DE"/>
              </w:rPr>
              <w:t xml:space="preserve">als Tablette appliziert wird, sind Personalkosten zu vernachlässigen. Grundsätzlich ist der Zeitaufwand bei Tabletteneinnahme im Vergleich zu parenteralen Applikationsformen geringer und es ist keine Nachbeobachtungszeit nötig, was in geringeren Personal- und Ausstattungskosten resultiert. Jedoch erfordert der Einsatz von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3021DD">
              <w:rPr>
                <w:rFonts w:ascii="Arial Narrow" w:eastAsia="Times New Roman" w:hAnsi="Arial Narrow" w:cs="Arial"/>
                <w:sz w:val="22"/>
                <w:lang w:eastAsia="de-DE"/>
              </w:rPr>
              <w:t xml:space="preserve"> </w:t>
            </w:r>
            <w:r w:rsidRPr="00016B86">
              <w:rPr>
                <w:rFonts w:ascii="Arial Narrow" w:eastAsia="Times New Roman" w:hAnsi="Arial Narrow" w:cs="Arial"/>
                <w:sz w:val="22"/>
                <w:lang w:eastAsia="de-DE"/>
              </w:rPr>
              <w:t>aufgrund des hohen Wechselwirkungspotenzials eine aufwändige Prüfung der bestehenden Medikation vor Beginn der Therapie, der mit bis zu 30 Minuten, je nach Einzelfall, beziffert werden kann.</w:t>
            </w:r>
          </w:p>
        </w:tc>
      </w:tr>
    </w:tbl>
    <w:p w14:paraId="46242827" w14:textId="77777777" w:rsidR="00016B86" w:rsidRPr="00016B86" w:rsidRDefault="00016B86" w:rsidP="00016B86">
      <w:pPr>
        <w:spacing w:after="0" w:line="240" w:lineRule="auto"/>
        <w:rPr>
          <w:rFonts w:ascii="Arial Narrow" w:eastAsia="Times New Roman" w:hAnsi="Arial Narrow" w:cs="Arial"/>
          <w:b/>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544EA377" w14:textId="77777777" w:rsidTr="00AA1ABF">
        <w:tc>
          <w:tcPr>
            <w:tcW w:w="9212" w:type="dxa"/>
          </w:tcPr>
          <w:p w14:paraId="7425417F"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b/>
                <w:sz w:val="22"/>
                <w:lang w:eastAsia="de-DE"/>
              </w:rPr>
              <w:t>Welche DRG(s) ist/sind am häufigsten von dieser Methode betroffen?</w:t>
            </w:r>
          </w:p>
        </w:tc>
      </w:tr>
      <w:tr w:rsidR="00016B86" w:rsidRPr="00016B86" w14:paraId="61B401A8" w14:textId="77777777" w:rsidTr="00AA1ABF">
        <w:tc>
          <w:tcPr>
            <w:tcW w:w="9212" w:type="dxa"/>
          </w:tcPr>
          <w:p w14:paraId="67E1EFA8" w14:textId="6537CED9" w:rsidR="00016B86" w:rsidRPr="00016B86" w:rsidRDefault="00016B86" w:rsidP="00016B86">
            <w:pPr>
              <w:spacing w:after="0" w:line="240" w:lineRule="auto"/>
              <w:rPr>
                <w:rFonts w:ascii="Arial Narrow" w:eastAsia="Times New Roman" w:hAnsi="Arial Narrow" w:cs="Arial"/>
                <w:iCs/>
                <w:sz w:val="22"/>
                <w:lang w:eastAsia="de-DE"/>
              </w:rPr>
            </w:pPr>
            <w:r w:rsidRPr="00016B86">
              <w:rPr>
                <w:rFonts w:ascii="Arial Narrow" w:eastAsia="Times New Roman" w:hAnsi="Arial Narrow" w:cs="Arial"/>
                <w:iCs/>
                <w:sz w:val="22"/>
                <w:lang w:eastAsia="de-DE"/>
              </w:rPr>
              <w:t>E79</w:t>
            </w:r>
            <w:r w:rsidR="007B4F4B">
              <w:rPr>
                <w:rFonts w:ascii="Arial Narrow" w:eastAsia="Times New Roman" w:hAnsi="Arial Narrow" w:cs="Arial"/>
                <w:iCs/>
                <w:sz w:val="22"/>
                <w:lang w:eastAsia="de-DE"/>
              </w:rPr>
              <w:t>A</w:t>
            </w:r>
            <w:r w:rsidRPr="00016B86">
              <w:rPr>
                <w:rFonts w:ascii="Arial Narrow" w:eastAsia="Times New Roman" w:hAnsi="Arial Narrow" w:cs="Arial"/>
                <w:iCs/>
                <w:sz w:val="22"/>
                <w:lang w:eastAsia="de-DE"/>
              </w:rPr>
              <w:t>, E75C, D63B</w:t>
            </w:r>
          </w:p>
        </w:tc>
      </w:tr>
    </w:tbl>
    <w:p w14:paraId="51B06D03" w14:textId="77777777" w:rsidR="00016B86" w:rsidRPr="00016B86" w:rsidRDefault="00016B86" w:rsidP="00016B86">
      <w:pPr>
        <w:spacing w:after="0" w:line="240" w:lineRule="auto"/>
        <w:rPr>
          <w:rFonts w:ascii="Arial Narrow" w:eastAsia="Times New Roman" w:hAnsi="Arial Narrow" w:cs="Arial"/>
          <w:b/>
          <w:lang w:eastAsia="de-DE"/>
        </w:rPr>
      </w:pPr>
    </w:p>
    <w:tbl>
      <w:tblPr>
        <w:tblStyle w:val="TableNormal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212"/>
      </w:tblGrid>
      <w:tr w:rsidR="00016B86" w:rsidRPr="00016B86" w14:paraId="1EFE10A0" w14:textId="77777777" w:rsidTr="00AA1ABF">
        <w:tc>
          <w:tcPr>
            <w:tcW w:w="9212" w:type="dxa"/>
          </w:tcPr>
          <w:p w14:paraId="7852E3E7" w14:textId="77777777" w:rsidR="00016B86" w:rsidRPr="00016B86" w:rsidRDefault="00016B86" w:rsidP="00016B86">
            <w:pPr>
              <w:spacing w:after="0" w:line="240" w:lineRule="auto"/>
              <w:rPr>
                <w:rFonts w:ascii="Arial Narrow" w:eastAsia="Times New Roman" w:hAnsi="Arial Narrow" w:cs="Arial"/>
                <w:lang w:eastAsia="de-DE"/>
              </w:rPr>
            </w:pPr>
            <w:r w:rsidRPr="00016B86">
              <w:rPr>
                <w:rFonts w:ascii="Arial Narrow" w:eastAsia="Times New Roman" w:hAnsi="Arial Narrow" w:cs="Arial"/>
                <w:b/>
                <w:sz w:val="22"/>
                <w:lang w:eastAsia="de-DE"/>
              </w:rPr>
              <w:t>Warum ist diese Methode aus Ihrer Sicht derzeit im G-DRG-System nicht sachgerecht abgebildet?</w:t>
            </w:r>
          </w:p>
        </w:tc>
      </w:tr>
      <w:tr w:rsidR="00016B86" w:rsidRPr="00016B86" w14:paraId="407081EA" w14:textId="77777777" w:rsidTr="00AA1ABF">
        <w:tc>
          <w:tcPr>
            <w:tcW w:w="9212" w:type="dxa"/>
          </w:tcPr>
          <w:p w14:paraId="13D09FC5" w14:textId="77777777" w:rsidR="00016B86" w:rsidRPr="00016B86" w:rsidRDefault="00016B86" w:rsidP="00016B86">
            <w:pPr>
              <w:spacing w:after="0" w:line="240" w:lineRule="auto"/>
              <w:rPr>
                <w:rFonts w:ascii="Arial Narrow" w:eastAsia="Times New Roman" w:hAnsi="Arial Narrow" w:cs="Arial"/>
                <w:iCs/>
                <w:sz w:val="22"/>
                <w:lang w:eastAsia="de-DE"/>
              </w:rPr>
            </w:pP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3021DD">
              <w:rPr>
                <w:rFonts w:ascii="Arial Narrow" w:eastAsia="Times New Roman" w:hAnsi="Arial Narrow" w:cs="Arial"/>
                <w:iCs/>
                <w:sz w:val="22"/>
                <w:lang w:eastAsia="de-DE"/>
              </w:rPr>
              <w:t xml:space="preserve"> </w:t>
            </w:r>
            <w:r w:rsidRPr="00016B86">
              <w:rPr>
                <w:rFonts w:ascii="Arial Narrow" w:eastAsia="Times New Roman" w:hAnsi="Arial Narrow" w:cs="Arial"/>
                <w:iCs/>
                <w:sz w:val="22"/>
                <w:lang w:eastAsia="de-DE"/>
              </w:rPr>
              <w:t xml:space="preserve">kann erst seit dem 25. Februar 2022 ärztlich verordnet werden und wurde bis Februar 2024 aus den zentralen Beständen des Bundes kostenfrei abgegeben. Es können somit aus den Kalkulationshäusern noch keine Kostendaten für den Einsatz vorliegen und eine sachgerechte Abbildung im G-DRG System 2026 wird damit nicht möglich. </w:t>
            </w:r>
            <w:r w:rsidRPr="00016B86">
              <w:rPr>
                <w:rFonts w:ascii="Arial Narrow" w:eastAsia="Times New Roman" w:hAnsi="Arial Narrow" w:cs="Arial"/>
                <w:sz w:val="22"/>
                <w:lang w:eastAsia="de-DE"/>
              </w:rPr>
              <w:t>Zudem existiert erst seit 2024 ein OPS-Kode, sodass eine patientenspezifische Rückverfolgung erst seitdem möglich ist.</w:t>
            </w:r>
          </w:p>
          <w:p w14:paraId="458E13A5" w14:textId="77777777" w:rsidR="00016B86" w:rsidRPr="00016B86" w:rsidRDefault="00016B86" w:rsidP="00016B86">
            <w:pPr>
              <w:spacing w:after="0" w:line="240" w:lineRule="auto"/>
              <w:rPr>
                <w:rFonts w:ascii="Arial Narrow" w:eastAsia="Times New Roman" w:hAnsi="Arial Narrow" w:cs="Arial"/>
                <w:iCs/>
                <w:sz w:val="22"/>
                <w:lang w:eastAsia="de-DE"/>
              </w:rPr>
            </w:pPr>
          </w:p>
          <w:p w14:paraId="76947AED" w14:textId="77777777" w:rsidR="00016B86" w:rsidRPr="00016B86" w:rsidRDefault="00016B86" w:rsidP="00016B86">
            <w:pPr>
              <w:spacing w:after="0" w:line="240" w:lineRule="auto"/>
              <w:rPr>
                <w:rFonts w:ascii="Arial Narrow" w:eastAsia="Times New Roman" w:hAnsi="Arial Narrow" w:cs="Arial"/>
                <w:iCs/>
                <w:sz w:val="22"/>
                <w:lang w:eastAsia="de-DE"/>
              </w:rPr>
            </w:pPr>
            <w:r w:rsidRPr="00016B86">
              <w:rPr>
                <w:rFonts w:ascii="Arial Narrow" w:eastAsia="Times New Roman" w:hAnsi="Arial Narrow" w:cs="Arial"/>
                <w:iCs/>
                <w:sz w:val="22"/>
                <w:lang w:eastAsia="de-DE"/>
              </w:rPr>
              <w:t xml:space="preserve">Die zusätzlichen Kosten von ca. 1.150 € pro Behandlung mit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Pr>
                <w:rFonts w:ascii="Arial Narrow" w:eastAsia="Times New Roman" w:hAnsi="Arial Narrow" w:cs="Arial"/>
                <w:iCs/>
                <w:sz w:val="22"/>
                <w:lang w:eastAsia="de-DE"/>
              </w:rPr>
              <w:t xml:space="preserve"> können mit den o. g. Fallpauschalen nicht ausreichend abgebildet werden, womit es zu einer Unterfinanzierung in diesen kommt: Für die am häufigsten von der Nebendiagnose U07.1 betroffenen G-DRG E79C werden beispielsweise Arzneimittelkosten von lediglich 90,45 €, welche somit von den Kosten allein für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190E4E">
              <w:rPr>
                <w:rFonts w:ascii="Arial Narrow" w:eastAsia="Times New Roman" w:hAnsi="Arial Narrow" w:cs="Arial"/>
                <w:iCs/>
                <w:sz w:val="22"/>
                <w:lang w:eastAsia="de-DE"/>
              </w:rPr>
              <w:t xml:space="preserve"> </w:t>
            </w:r>
            <w:r w:rsidRPr="00016B86">
              <w:rPr>
                <w:rFonts w:ascii="Arial Narrow" w:eastAsia="Times New Roman" w:hAnsi="Arial Narrow" w:cs="Arial"/>
                <w:iCs/>
                <w:sz w:val="22"/>
                <w:lang w:eastAsia="de-DE"/>
              </w:rPr>
              <w:t xml:space="preserve">überschritten werden. In der G-DRG D63B sind Arzneimittelkosten von lediglich 40,97 € enthalten, die Standardabweichung der Fallkosten beträgt 620 €. Damit liegen die Kosten für </w:t>
            </w: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190E4E">
              <w:rPr>
                <w:rFonts w:ascii="Arial Narrow" w:eastAsia="Times New Roman" w:hAnsi="Arial Narrow" w:cs="Arial"/>
                <w:iCs/>
                <w:sz w:val="22"/>
                <w:lang w:eastAsia="de-DE"/>
              </w:rPr>
              <w:t xml:space="preserve"> </w:t>
            </w:r>
            <w:r w:rsidRPr="00016B86">
              <w:rPr>
                <w:rFonts w:ascii="Arial Narrow" w:eastAsia="Times New Roman" w:hAnsi="Arial Narrow" w:cs="Arial"/>
                <w:iCs/>
                <w:sz w:val="22"/>
                <w:lang w:eastAsia="de-DE"/>
              </w:rPr>
              <w:t>weit außerhalb der Standardabweichung der Fallkosten in dieser G-DRG.</w:t>
            </w:r>
          </w:p>
          <w:p w14:paraId="393CDC12" w14:textId="77777777" w:rsidR="00016B86" w:rsidRPr="00016B86" w:rsidRDefault="00016B86" w:rsidP="00016B86">
            <w:pPr>
              <w:spacing w:after="0" w:line="240" w:lineRule="auto"/>
              <w:rPr>
                <w:rFonts w:ascii="Arial Narrow" w:eastAsia="Times New Roman" w:hAnsi="Arial Narrow" w:cs="Arial"/>
                <w:iCs/>
                <w:sz w:val="22"/>
                <w:lang w:eastAsia="de-DE"/>
              </w:rPr>
            </w:pPr>
          </w:p>
          <w:p w14:paraId="6ED36FAF" w14:textId="77777777" w:rsidR="00016B86" w:rsidRPr="00016B86" w:rsidRDefault="00016B86" w:rsidP="00016B86">
            <w:pPr>
              <w:spacing w:after="0" w:line="240" w:lineRule="auto"/>
              <w:rPr>
                <w:rFonts w:ascii="Arial Narrow" w:eastAsia="Times New Roman" w:hAnsi="Arial Narrow" w:cs="Arial"/>
                <w:iCs/>
                <w:sz w:val="22"/>
                <w:lang w:eastAsia="de-DE"/>
              </w:rPr>
            </w:pPr>
            <w:proofErr w:type="spellStart"/>
            <w:r w:rsidRPr="00016B86">
              <w:rPr>
                <w:rFonts w:ascii="Arial Narrow" w:eastAsia="Times New Roman" w:hAnsi="Arial Narrow" w:cs="Arial"/>
                <w:sz w:val="22"/>
                <w:szCs w:val="22"/>
                <w:lang w:eastAsia="de-DE"/>
              </w:rPr>
              <w:t>Nirmatrelvir</w:t>
            </w:r>
            <w:proofErr w:type="spellEnd"/>
            <w:r w:rsidRPr="00016B86">
              <w:rPr>
                <w:rFonts w:ascii="Arial Narrow" w:eastAsia="Times New Roman" w:hAnsi="Arial Narrow" w:cs="Arial"/>
                <w:sz w:val="22"/>
                <w:szCs w:val="22"/>
                <w:lang w:eastAsia="de-DE"/>
              </w:rPr>
              <w:t>/Ritonavir</w:t>
            </w:r>
            <w:r w:rsidRPr="00016B86" w:rsidDel="00190E4E">
              <w:rPr>
                <w:rFonts w:ascii="Arial Narrow" w:eastAsia="Times New Roman" w:hAnsi="Arial Narrow" w:cs="Arial"/>
                <w:iCs/>
                <w:sz w:val="22"/>
                <w:lang w:eastAsia="de-DE"/>
              </w:rPr>
              <w:t xml:space="preserve"> </w:t>
            </w:r>
            <w:r w:rsidRPr="00016B86">
              <w:rPr>
                <w:rFonts w:ascii="Arial Narrow" w:eastAsia="Times New Roman" w:hAnsi="Arial Narrow" w:cs="Arial"/>
                <w:iCs/>
                <w:sz w:val="22"/>
                <w:lang w:eastAsia="de-DE"/>
              </w:rPr>
              <w:t>wurde bereits für das Jahr 2025 der NUB-Status 1 zugeordnet. Die Bedingungen für die Vergabe von NUB-Status 1 sind weiterhin erfüllt und eine erneute Vergabe von NUB-Status ist, wie bereits im Vorjahr, erforderlich.</w:t>
            </w:r>
          </w:p>
        </w:tc>
      </w:tr>
    </w:tbl>
    <w:p w14:paraId="3734B2DE" w14:textId="77777777" w:rsidR="00016B86" w:rsidRPr="00016B86" w:rsidRDefault="00016B86" w:rsidP="00016B86">
      <w:pPr>
        <w:spacing w:after="0" w:line="240" w:lineRule="auto"/>
        <w:rPr>
          <w:rFonts w:ascii="Arial Narrow" w:eastAsia="Times New Roman" w:hAnsi="Arial Narrow" w:cs="Times New Roman"/>
          <w:lang w:eastAsia="de-DE"/>
        </w:rPr>
      </w:pPr>
    </w:p>
    <w:p w14:paraId="7BBEC5B6" w14:textId="77777777" w:rsidR="00016B86" w:rsidRPr="00016B86" w:rsidRDefault="00016B86" w:rsidP="00016B86">
      <w:pPr>
        <w:spacing w:after="0" w:line="240" w:lineRule="auto"/>
        <w:rPr>
          <w:rFonts w:ascii="Arial Narrow" w:eastAsia="Times New Roman" w:hAnsi="Arial Narrow" w:cs="Times New Roman"/>
          <w:lang w:eastAsia="de-DE"/>
        </w:rPr>
      </w:pPr>
    </w:p>
    <w:p w14:paraId="60B3D9DE" w14:textId="77777777" w:rsidR="00016B86" w:rsidRPr="00016B86" w:rsidRDefault="00016B86" w:rsidP="00016B86"/>
    <w:p w14:paraId="4E47C1E7" w14:textId="77777777" w:rsidR="00855AAB" w:rsidRDefault="00855AAB"/>
    <w:sectPr w:rsidR="00855AAB" w:rsidSect="00016B8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C8083" w14:textId="77777777" w:rsidR="00D75727" w:rsidRDefault="00D75727">
      <w:pPr>
        <w:spacing w:after="0" w:line="240" w:lineRule="auto"/>
      </w:pPr>
      <w:r>
        <w:separator/>
      </w:r>
    </w:p>
  </w:endnote>
  <w:endnote w:type="continuationSeparator" w:id="0">
    <w:p w14:paraId="2239056E" w14:textId="77777777" w:rsidR="00D75727" w:rsidRDefault="00D75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3FAD" w14:textId="77777777" w:rsidR="00016B86" w:rsidRDefault="00016B8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EAF7F" w14:textId="77777777" w:rsidR="00016B86" w:rsidRPr="00435583" w:rsidRDefault="00016B86" w:rsidP="00B82CCB">
    <w:pPr>
      <w:pStyle w:val="Fuzeile"/>
      <w:rPr>
        <w:rFonts w:ascii="Arial Narrow" w:hAnsi="Arial Narrow"/>
        <w:sz w:val="20"/>
        <w:szCs w:val="20"/>
      </w:rPr>
    </w:pPr>
    <w:r w:rsidRPr="00435583">
      <w:rPr>
        <w:rFonts w:ascii="Arial Narrow" w:hAnsi="Arial Narrow"/>
        <w:sz w:val="20"/>
        <w:szCs w:val="20"/>
      </w:rPr>
      <w:t xml:space="preserve">NUB-Musteranfrage </w:t>
    </w:r>
    <w:proofErr w:type="spellStart"/>
    <w:r w:rsidRPr="00E03EDB">
      <w:rPr>
        <w:rFonts w:ascii="Arial Narrow" w:hAnsi="Arial Narrow"/>
        <w:sz w:val="20"/>
        <w:szCs w:val="20"/>
      </w:rPr>
      <w:t>Nirmatrelvir</w:t>
    </w:r>
    <w:proofErr w:type="spellEnd"/>
    <w:r w:rsidRPr="00E03EDB">
      <w:rPr>
        <w:rFonts w:ascii="Arial Narrow" w:hAnsi="Arial Narrow"/>
        <w:sz w:val="20"/>
        <w:szCs w:val="20"/>
      </w:rPr>
      <w:t>/Ritonavir</w:t>
    </w:r>
  </w:p>
  <w:p w14:paraId="775F780B" w14:textId="77777777" w:rsidR="00016B86" w:rsidRPr="00435583" w:rsidRDefault="00016B86" w:rsidP="00B82CCB">
    <w:pPr>
      <w:pStyle w:val="Fuzeile"/>
      <w:rPr>
        <w:rFonts w:ascii="Arial Narrow" w:hAnsi="Arial Narrow"/>
        <w:sz w:val="20"/>
        <w:szCs w:val="20"/>
      </w:rPr>
    </w:pPr>
    <w:r w:rsidRPr="00771965">
      <w:rPr>
        <w:rFonts w:ascii="Arial Narrow" w:hAnsi="Arial Narrow"/>
        <w:sz w:val="20"/>
        <w:szCs w:val="20"/>
      </w:rPr>
      <w:t>Deutsche Gesellschaft für Infektiologie e. V.</w:t>
    </w:r>
    <w:r>
      <w:rPr>
        <w:rFonts w:ascii="Arial Narrow" w:hAnsi="Arial Narrow"/>
        <w:sz w:val="20"/>
        <w:szCs w:val="20"/>
      </w:rPr>
      <w:t xml:space="preserve">, </w:t>
    </w:r>
    <w:hyperlink r:id="rId1" w:history="1">
      <w:r w:rsidRPr="0078175A">
        <w:rPr>
          <w:rStyle w:val="Hyperlink"/>
          <w:rFonts w:ascii="Arial Narrow" w:hAnsi="Arial Narrow"/>
          <w:sz w:val="20"/>
          <w:szCs w:val="20"/>
        </w:rPr>
        <w:t>www.dgi-net.de</w:t>
      </w:r>
    </w:hyperlink>
    <w:r>
      <w:rPr>
        <w:rFonts w:ascii="Arial Narrow" w:hAnsi="Arial Narrow"/>
        <w:sz w:val="20"/>
        <w:szCs w:val="20"/>
      </w:rPr>
      <w:t xml:space="preserve"> </w:t>
    </w:r>
    <w:r>
      <w:rPr>
        <w:rFonts w:ascii="Arial Narrow" w:hAnsi="Arial Narrow"/>
        <w:sz w:val="20"/>
        <w:szCs w:val="20"/>
      </w:rPr>
      <w:br/>
    </w:r>
    <w:r w:rsidRPr="00B3171F">
      <w:rPr>
        <w:rFonts w:ascii="Arial Narrow" w:hAnsi="Arial Narrow"/>
        <w:sz w:val="20"/>
        <w:szCs w:val="20"/>
      </w:rPr>
      <w:t xml:space="preserve">Seite </w:t>
    </w:r>
    <w:r w:rsidRPr="004624D5">
      <w:rPr>
        <w:rFonts w:ascii="Arial Narrow" w:hAnsi="Arial Narrow"/>
        <w:sz w:val="20"/>
        <w:szCs w:val="20"/>
      </w:rPr>
      <w:fldChar w:fldCharType="begin"/>
    </w:r>
    <w:r w:rsidRPr="004624D5">
      <w:rPr>
        <w:rFonts w:ascii="Arial Narrow" w:hAnsi="Arial Narrow"/>
        <w:sz w:val="20"/>
        <w:szCs w:val="20"/>
      </w:rPr>
      <w:instrText>PAGE  \* Arabic  \* MERGEFORMAT</w:instrText>
    </w:r>
    <w:r w:rsidRPr="004624D5">
      <w:rPr>
        <w:rFonts w:ascii="Arial Narrow" w:hAnsi="Arial Narrow"/>
        <w:sz w:val="20"/>
        <w:szCs w:val="20"/>
      </w:rPr>
      <w:fldChar w:fldCharType="separate"/>
    </w:r>
    <w:r w:rsidRPr="004624D5">
      <w:rPr>
        <w:rFonts w:ascii="Arial Narrow" w:hAnsi="Arial Narrow"/>
        <w:sz w:val="20"/>
        <w:szCs w:val="20"/>
      </w:rPr>
      <w:t>1</w:t>
    </w:r>
    <w:r w:rsidRPr="004624D5">
      <w:rPr>
        <w:rFonts w:ascii="Arial Narrow" w:hAnsi="Arial Narrow"/>
        <w:sz w:val="20"/>
        <w:szCs w:val="20"/>
      </w:rPr>
      <w:fldChar w:fldCharType="end"/>
    </w:r>
    <w:r w:rsidRPr="004624D5">
      <w:rPr>
        <w:rFonts w:ascii="Arial Narrow" w:hAnsi="Arial Narrow"/>
        <w:sz w:val="20"/>
        <w:szCs w:val="20"/>
      </w:rPr>
      <w:t xml:space="preserve"> von </w:t>
    </w:r>
    <w:r w:rsidRPr="004624D5">
      <w:rPr>
        <w:rFonts w:ascii="Arial Narrow" w:hAnsi="Arial Narrow"/>
        <w:sz w:val="20"/>
        <w:szCs w:val="20"/>
      </w:rPr>
      <w:fldChar w:fldCharType="begin"/>
    </w:r>
    <w:r w:rsidRPr="004624D5">
      <w:rPr>
        <w:rFonts w:ascii="Arial Narrow" w:hAnsi="Arial Narrow"/>
        <w:sz w:val="20"/>
        <w:szCs w:val="20"/>
      </w:rPr>
      <w:instrText>NUMPAGES  \* Arabic  \* MERGEFORMAT</w:instrText>
    </w:r>
    <w:r w:rsidRPr="004624D5">
      <w:rPr>
        <w:rFonts w:ascii="Arial Narrow" w:hAnsi="Arial Narrow"/>
        <w:sz w:val="20"/>
        <w:szCs w:val="20"/>
      </w:rPr>
      <w:fldChar w:fldCharType="separate"/>
    </w:r>
    <w:r w:rsidRPr="004624D5">
      <w:rPr>
        <w:rFonts w:ascii="Arial Narrow" w:hAnsi="Arial Narrow"/>
        <w:sz w:val="20"/>
        <w:szCs w:val="20"/>
      </w:rPr>
      <w:t>2</w:t>
    </w:r>
    <w:r w:rsidRPr="004624D5">
      <w:rPr>
        <w:rFonts w:ascii="Arial Narrow" w:hAnsi="Arial Narrow"/>
        <w:sz w:val="20"/>
        <w:szCs w:val="20"/>
      </w:rPr>
      <w:fldChar w:fldCharType="end"/>
    </w:r>
  </w:p>
  <w:p w14:paraId="248D4731" w14:textId="77777777" w:rsidR="00016B86" w:rsidRPr="00BC76B9" w:rsidRDefault="00016B86" w:rsidP="00406238">
    <w:pPr>
      <w:rPr>
        <w:sz w:val="20"/>
        <w:szCs w:val="20"/>
        <w:lang w:val="en-GB"/>
      </w:rPr>
    </w:pPr>
    <w:bookmarkStart w:id="0" w:name="_Hlk139466795"/>
    <w:bookmarkStart w:id="1" w:name="_Hlk139466796"/>
    <w:r w:rsidRPr="00406238">
      <w:rPr>
        <w:rFonts w:ascii="Arial Narrow" w:hAnsi="Arial Narrow"/>
        <w:sz w:val="20"/>
        <w:szCs w:val="20"/>
        <w:lang w:val="en-GB"/>
      </w:rPr>
      <w:t>26-XX-Nirmatrelvir-Ritonavir_NUB-Anfrage_Stand-2025.09</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DFD2" w14:textId="77777777" w:rsidR="00016B86" w:rsidRDefault="00016B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F9ADE" w14:textId="77777777" w:rsidR="00D75727" w:rsidRDefault="00D75727">
      <w:pPr>
        <w:spacing w:after="0" w:line="240" w:lineRule="auto"/>
      </w:pPr>
      <w:r>
        <w:separator/>
      </w:r>
    </w:p>
  </w:footnote>
  <w:footnote w:type="continuationSeparator" w:id="0">
    <w:p w14:paraId="14EF7F3A" w14:textId="77777777" w:rsidR="00D75727" w:rsidRDefault="00D75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0D62C" w14:textId="77777777" w:rsidR="00016B86" w:rsidRDefault="00016B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C7E9" w14:textId="77777777" w:rsidR="00016B86" w:rsidRPr="006A33CA" w:rsidRDefault="00016B86" w:rsidP="006A33CA">
    <w:pPr>
      <w:pBdr>
        <w:bottom w:val="single" w:sz="8" w:space="4" w:color="2DA2BF"/>
      </w:pBdr>
      <w:spacing w:after="300" w:line="240" w:lineRule="auto"/>
      <w:contextualSpacing/>
      <w:rPr>
        <w:rFonts w:ascii="Arial" w:eastAsia="Times New Roman" w:hAnsi="Arial" w:cs="Arial"/>
        <w:color w:val="343434"/>
        <w:spacing w:val="5"/>
        <w:kern w:val="28"/>
        <w:sz w:val="48"/>
        <w:szCs w:val="52"/>
        <w:lang w:eastAsia="de-DE"/>
      </w:rPr>
    </w:pPr>
    <w:proofErr w:type="gramStart"/>
    <w:r w:rsidRPr="006A33CA">
      <w:rPr>
        <w:rFonts w:ascii="Arial" w:eastAsia="Times New Roman" w:hAnsi="Arial" w:cs="Arial"/>
        <w:color w:val="343434"/>
        <w:spacing w:val="5"/>
        <w:kern w:val="28"/>
        <w:sz w:val="48"/>
        <w:szCs w:val="52"/>
        <w:lang w:eastAsia="de-DE"/>
      </w:rPr>
      <w:t>NUB Antrag</w:t>
    </w:r>
    <w:proofErr w:type="gramEnd"/>
    <w:r w:rsidRPr="006A33CA">
      <w:rPr>
        <w:rFonts w:ascii="Arial" w:eastAsia="Times New Roman" w:hAnsi="Arial" w:cs="Arial"/>
        <w:color w:val="343434"/>
        <w:spacing w:val="5"/>
        <w:kern w:val="28"/>
        <w:sz w:val="48"/>
        <w:szCs w:val="52"/>
        <w:lang w:eastAsia="de-DE"/>
      </w:rPr>
      <w:t xml:space="preserve"> 202</w:t>
    </w:r>
    <w:r>
      <w:rPr>
        <w:rFonts w:ascii="Arial" w:eastAsia="Times New Roman" w:hAnsi="Arial" w:cs="Arial"/>
        <w:color w:val="343434"/>
        <w:spacing w:val="5"/>
        <w:kern w:val="28"/>
        <w:sz w:val="48"/>
        <w:szCs w:val="52"/>
        <w:lang w:eastAsia="de-DE"/>
      </w:rPr>
      <w:t>5</w:t>
    </w:r>
    <w:r w:rsidRPr="006A33CA">
      <w:rPr>
        <w:rFonts w:ascii="Arial" w:eastAsia="Times New Roman" w:hAnsi="Arial" w:cs="Arial"/>
        <w:color w:val="343434"/>
        <w:spacing w:val="5"/>
        <w:kern w:val="28"/>
        <w:sz w:val="48"/>
        <w:szCs w:val="52"/>
        <w:lang w:eastAsia="de-DE"/>
      </w:rPr>
      <w:t>/202</w:t>
    </w:r>
    <w:r>
      <w:rPr>
        <w:rFonts w:ascii="Arial" w:eastAsia="Times New Roman" w:hAnsi="Arial" w:cs="Arial"/>
        <w:color w:val="343434"/>
        <w:spacing w:val="5"/>
        <w:kern w:val="28"/>
        <w:sz w:val="48"/>
        <w:szCs w:val="52"/>
        <w:lang w:eastAsia="de-DE"/>
      </w:rPr>
      <w:t>6</w:t>
    </w:r>
    <w:r w:rsidRPr="006A33CA">
      <w:rPr>
        <w:rFonts w:ascii="Arial" w:eastAsia="Times New Roman" w:hAnsi="Arial" w:cs="Arial"/>
        <w:color w:val="343434"/>
        <w:spacing w:val="5"/>
        <w:kern w:val="28"/>
        <w:sz w:val="48"/>
        <w:szCs w:val="52"/>
        <w:lang w:eastAsia="de-DE"/>
      </w:rPr>
      <w:t xml:space="preserve"> </w:t>
    </w:r>
  </w:p>
  <w:p w14:paraId="078C061F" w14:textId="77777777" w:rsidR="00016B86" w:rsidRPr="006A33CA" w:rsidRDefault="00016B86" w:rsidP="006A33CA">
    <w:pPr>
      <w:tabs>
        <w:tab w:val="center" w:pos="4536"/>
        <w:tab w:val="right" w:pos="9072"/>
      </w:tabs>
      <w:spacing w:after="0" w:line="240" w:lineRule="auto"/>
      <w:rPr>
        <w:rFonts w:ascii="Arial" w:eastAsia="Times New Roman" w:hAnsi="Arial" w:cs="Arial"/>
        <w:color w:val="343434"/>
        <w:spacing w:val="5"/>
        <w:kern w:val="28"/>
        <w:sz w:val="48"/>
        <w:szCs w:val="52"/>
        <w:lang w:eastAsia="de-DE"/>
      </w:rPr>
    </w:pPr>
    <w:proofErr w:type="spellStart"/>
    <w:r w:rsidRPr="006A33CA">
      <w:rPr>
        <w:rFonts w:ascii="Arial" w:eastAsia="Times New Roman" w:hAnsi="Arial" w:cs="Arial"/>
        <w:color w:val="343434"/>
        <w:spacing w:val="5"/>
        <w:kern w:val="28"/>
        <w:sz w:val="48"/>
        <w:szCs w:val="52"/>
        <w:lang w:eastAsia="de-DE"/>
      </w:rPr>
      <w:t>Nirmatrelvir</w:t>
    </w:r>
    <w:proofErr w:type="spellEnd"/>
    <w:r w:rsidRPr="006A33CA">
      <w:rPr>
        <w:rFonts w:ascii="Arial" w:eastAsia="Times New Roman" w:hAnsi="Arial" w:cs="Arial"/>
        <w:color w:val="343434"/>
        <w:spacing w:val="5"/>
        <w:kern w:val="28"/>
        <w:sz w:val="48"/>
        <w:szCs w:val="52"/>
        <w:lang w:eastAsia="de-DE"/>
      </w:rPr>
      <w:t>/Ritonavir</w:t>
    </w:r>
  </w:p>
  <w:p w14:paraId="21D389E3" w14:textId="77777777" w:rsidR="00016B86" w:rsidRDefault="00016B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8CAA" w14:textId="77777777" w:rsidR="00016B86" w:rsidRDefault="00016B8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9B538D"/>
    <w:rsid w:val="00016B86"/>
    <w:rsid w:val="00096EE3"/>
    <w:rsid w:val="001E247C"/>
    <w:rsid w:val="002849F9"/>
    <w:rsid w:val="00286DD6"/>
    <w:rsid w:val="002B311F"/>
    <w:rsid w:val="004622E8"/>
    <w:rsid w:val="00515E27"/>
    <w:rsid w:val="006408F2"/>
    <w:rsid w:val="00744580"/>
    <w:rsid w:val="00771A95"/>
    <w:rsid w:val="007B3358"/>
    <w:rsid w:val="007B4F4B"/>
    <w:rsid w:val="00855AAB"/>
    <w:rsid w:val="00A76F89"/>
    <w:rsid w:val="00D3531A"/>
    <w:rsid w:val="00D75727"/>
    <w:rsid w:val="204BE7DC"/>
    <w:rsid w:val="2A9B538D"/>
    <w:rsid w:val="2E97CAEF"/>
    <w:rsid w:val="5090D628"/>
    <w:rsid w:val="5D599B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A645"/>
  <w15:chartTrackingRefBased/>
  <w15:docId w15:val="{751C96D7-2328-4490-AD73-23674714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99"/>
    <w:semiHidden/>
    <w:unhideWhenUsed/>
    <w:rsid w:val="00016B86"/>
    <w:tblPr>
      <w:tblInd w:w="0" w:type="dxa"/>
      <w:tblCellMar>
        <w:top w:w="0" w:type="dxa"/>
        <w:left w:w="108" w:type="dxa"/>
        <w:bottom w:w="0" w:type="dxa"/>
        <w:right w:w="108" w:type="dxa"/>
      </w:tblCellMar>
    </w:tblPr>
  </w:style>
  <w:style w:type="character" w:styleId="Hyperlink">
    <w:name w:val="Hyperlink"/>
    <w:basedOn w:val="Absatz-Standardschriftart"/>
    <w:uiPriority w:val="99"/>
    <w:rsid w:val="00016B86"/>
    <w:rPr>
      <w:rFonts w:cs="Times New Roman"/>
      <w:color w:val="0000FF"/>
      <w:u w:val="single"/>
    </w:rPr>
  </w:style>
  <w:style w:type="paragraph" w:styleId="Kopfzeile">
    <w:name w:val="header"/>
    <w:basedOn w:val="Standard"/>
    <w:link w:val="KopfzeileZchn"/>
    <w:uiPriority w:val="99"/>
    <w:rsid w:val="00016B86"/>
    <w:pPr>
      <w:tabs>
        <w:tab w:val="center" w:pos="4536"/>
        <w:tab w:val="right" w:pos="9072"/>
      </w:tabs>
      <w:spacing w:after="0" w:line="240" w:lineRule="auto"/>
    </w:pPr>
    <w:rPr>
      <w:rFonts w:ascii="Times New Roman" w:eastAsia="Times New Roman" w:hAnsi="Times New Roman" w:cs="Times New Roman"/>
      <w:lang w:eastAsia="de-DE"/>
    </w:rPr>
  </w:style>
  <w:style w:type="character" w:customStyle="1" w:styleId="KopfzeileZchn">
    <w:name w:val="Kopfzeile Zchn"/>
    <w:basedOn w:val="Absatz-Standardschriftart"/>
    <w:link w:val="Kopfzeile"/>
    <w:uiPriority w:val="99"/>
    <w:rsid w:val="00016B86"/>
    <w:rPr>
      <w:rFonts w:ascii="Times New Roman" w:eastAsia="Times New Roman" w:hAnsi="Times New Roman" w:cs="Times New Roman"/>
      <w:lang w:eastAsia="de-DE"/>
    </w:rPr>
  </w:style>
  <w:style w:type="paragraph" w:styleId="Fuzeile">
    <w:name w:val="footer"/>
    <w:basedOn w:val="Standard"/>
    <w:link w:val="FuzeileZchn"/>
    <w:uiPriority w:val="99"/>
    <w:rsid w:val="00016B86"/>
    <w:pPr>
      <w:tabs>
        <w:tab w:val="center" w:pos="4536"/>
        <w:tab w:val="right" w:pos="9072"/>
      </w:tabs>
      <w:spacing w:after="0" w:line="240" w:lineRule="auto"/>
    </w:pPr>
    <w:rPr>
      <w:rFonts w:ascii="Times New Roman" w:eastAsia="Times New Roman" w:hAnsi="Times New Roman" w:cs="Times New Roman"/>
      <w:lang w:eastAsia="de-DE"/>
    </w:rPr>
  </w:style>
  <w:style w:type="character" w:customStyle="1" w:styleId="FuzeileZchn">
    <w:name w:val="Fußzeile Zchn"/>
    <w:basedOn w:val="Absatz-Standardschriftart"/>
    <w:link w:val="Fuzeile"/>
    <w:uiPriority w:val="99"/>
    <w:rsid w:val="00016B86"/>
    <w:rPr>
      <w:rFonts w:ascii="Times New Roman" w:eastAsia="Times New Roman" w:hAnsi="Times New Roman" w:cs="Times New Roman"/>
      <w:lang w:eastAsia="de-DE"/>
    </w:rPr>
  </w:style>
  <w:style w:type="character" w:styleId="Kommentarzeichen">
    <w:name w:val="annotation reference"/>
    <w:basedOn w:val="Absatz-Standardschriftart"/>
    <w:uiPriority w:val="99"/>
    <w:semiHidden/>
    <w:unhideWhenUsed/>
    <w:rsid w:val="00016B86"/>
    <w:rPr>
      <w:sz w:val="16"/>
      <w:szCs w:val="16"/>
    </w:rPr>
  </w:style>
  <w:style w:type="paragraph" w:styleId="Kommentartext">
    <w:name w:val="annotation text"/>
    <w:basedOn w:val="Standard"/>
    <w:link w:val="KommentartextZchn"/>
    <w:uiPriority w:val="99"/>
    <w:unhideWhenUsed/>
    <w:rsid w:val="00016B86"/>
    <w:pPr>
      <w:spacing w:line="240" w:lineRule="auto"/>
    </w:pPr>
    <w:rPr>
      <w:sz w:val="20"/>
      <w:szCs w:val="20"/>
    </w:rPr>
  </w:style>
  <w:style w:type="character" w:customStyle="1" w:styleId="KommentartextZchn">
    <w:name w:val="Kommentartext Zchn"/>
    <w:basedOn w:val="Absatz-Standardschriftart"/>
    <w:link w:val="Kommentartext"/>
    <w:uiPriority w:val="99"/>
    <w:rsid w:val="00016B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dgi-net.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E8A8321EAC77429F0AE51B49A58B02" ma:contentTypeVersion="6" ma:contentTypeDescription="Ein neues Dokument erstellen." ma:contentTypeScope="" ma:versionID="46f9b8c1029ff3a5e38518161dbea491">
  <xsd:schema xmlns:xsd="http://www.w3.org/2001/XMLSchema" xmlns:xs="http://www.w3.org/2001/XMLSchema" xmlns:p="http://schemas.microsoft.com/office/2006/metadata/properties" xmlns:ns2="2d076682-27a3-4304-b527-b918986f088e" xmlns:ns3="fe9ae99a-0496-4898-989f-e27614239e60" targetNamespace="http://schemas.microsoft.com/office/2006/metadata/properties" ma:root="true" ma:fieldsID="79d3c8853db0a645c1ed4d6c1c8322ba" ns2:_="" ns3:_="">
    <xsd:import namespace="2d076682-27a3-4304-b527-b918986f088e"/>
    <xsd:import namespace="fe9ae99a-0496-4898-989f-e27614239e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76682-27a3-4304-b527-b918986f0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ae99a-0496-4898-989f-e27614239e6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6B3E68-AB6A-435F-BA88-FCEFD64EB650}">
  <ds:schemaRefs>
    <ds:schemaRef ds:uri="http://schemas.microsoft.com/sharepoint/v3/contenttype/forms"/>
  </ds:schemaRefs>
</ds:datastoreItem>
</file>

<file path=customXml/itemProps2.xml><?xml version="1.0" encoding="utf-8"?>
<ds:datastoreItem xmlns:ds="http://schemas.openxmlformats.org/officeDocument/2006/customXml" ds:itemID="{0F3DFFA6-0D85-406B-8055-C8B36D028F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4B1D3C-3503-4917-8993-EA2E60C25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76682-27a3-4304-b527-b918986f088e"/>
    <ds:schemaRef ds:uri="fe9ae99a-0496-4898-989f-e27614239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9425</Characters>
  <Application>Microsoft Office Word</Application>
  <DocSecurity>0</DocSecurity>
  <Lines>78</Lines>
  <Paragraphs>21</Paragraphs>
  <ScaleCrop>false</ScaleCrop>
  <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Eiswert</dc:creator>
  <cp:keywords/>
  <dc:description/>
  <cp:lastModifiedBy>Leonie Schumacher</cp:lastModifiedBy>
  <cp:revision>15</cp:revision>
  <dcterms:created xsi:type="dcterms:W3CDTF">2025-09-24T10:23:00Z</dcterms:created>
  <dcterms:modified xsi:type="dcterms:W3CDTF">2025-09-24T12:42:00Z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0x01010054E8A8321EAC77429F0AE51B49A58B02</vt:lpwstr>
  </property>
</Properties>
</file>